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Runbook</w:t>
      </w:r>
    </w:p>
    <w:p>
      <w:pPr>
        <w:pStyle w:val="Heading1"/>
      </w:pPr>
      <w:r>
        <w:t>Release windows</w:t>
      </w:r>
    </w:p>
    <w:p>
      <w:r>
        <w:t>Production deployments happen Monday to Thursday between 09:00 and 16:00. There is a deployment freeze on Fridays and during the last week of December.</w:t>
      </w:r>
    </w:p>
    <w:p>
      <w:pPr>
        <w:pStyle w:val="Heading1"/>
      </w:pPr>
      <w:r>
        <w:t>Rollout</w:t>
      </w:r>
    </w:p>
    <w:p>
      <w:r>
        <w:t>Services roll out to 5 percent of traffic first, then 25 percent, then 100 percent, with a 15-minute soak between stages.</w:t>
      </w:r>
    </w:p>
    <w:p>
      <w:pPr>
        <w:pStyle w:val="Heading1"/>
      </w:pPr>
      <w:r>
        <w:t>Rollback</w:t>
      </w:r>
    </w:p>
    <w:p>
      <w:r>
        <w:t>Rollback is triggered automatically if the error rate exceeds 2 percent for 5 minutes. Engineers can also roll back manually with the deploy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Runbook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