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Secrets Management Guide</w:t>
      </w:r>
    </w:p>
    <w:p>
      <w:pPr>
        <w:pStyle w:val="Heading1"/>
      </w:pPr>
      <w:r>
        <w:t>Storage</w:t>
      </w:r>
    </w:p>
    <w:p>
      <w:r>
        <w:t>Secrets are stored in the central vault and never in source control or chat. Services read secrets at startup through their workload identity.</w:t>
      </w:r>
    </w:p>
    <w:p>
      <w:pPr>
        <w:pStyle w:val="Heading1"/>
      </w:pPr>
      <w:r>
        <w:t>Rotation</w:t>
      </w:r>
    </w:p>
    <w:p>
      <w:r>
        <w:t>Database credentials rotate every 90 days. API keys for third-party services rotate every 180 days or immediately after suspected exposure.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Secrets Management Guide</dc:title>
  <dc:subject/>
  <dc:creator>Northwind Logistics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