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Benefits Guide</w:t>
      </w:r>
    </w:p>
    <w:p>
      <w:pPr>
        <w:pStyle w:val="Heading1"/>
      </w:pPr>
      <w:r>
        <w:t>Pension</w:t>
      </w:r>
    </w:p>
    <w:p>
      <w:r>
        <w:t>Northwind Logistics contributes 6 percent of base salary to the employee pension scheme when the employee contributes at least 4 percent.</w:t>
      </w:r>
    </w:p>
    <w:p>
      <w:pPr>
        <w:pStyle w:val="Heading1"/>
      </w:pPr>
      <w:r>
        <w:t>Health cover</w:t>
      </w:r>
    </w:p>
    <w:p>
      <w:r>
        <w:t>Private health cover is available to all permanent employees after probation. Family cover costs employees 45 euros per month.</w:t>
      </w:r>
    </w:p>
    <w:p>
      <w:pPr>
        <w:pStyle w:val="Heading1"/>
      </w:pPr>
      <w:r>
        <w:t>Learning budget</w:t>
      </w:r>
    </w:p>
    <w:p>
      <w:r>
        <w:t>Each employee has an annual learning budget of 1,200 euros for courses and conferences, approved by their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Benefits Guide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