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Policy</w:t>
      </w:r>
    </w:p>
    <w:p>
      <w:pPr>
        <w:pStyle w:val="Heading1"/>
      </w:pPr>
      <w:r>
        <w:t>Annual review</w:t>
      </w:r>
    </w:p>
    <w:p>
      <w:r>
        <w:t>Salaries are reviewed once per year in April. Merit increases are budgeted at 3.5 percent of payroll.</w:t>
      </w:r>
    </w:p>
    <w:p>
      <w:pPr>
        <w:pStyle w:val="Heading1"/>
      </w:pPr>
      <w:r>
        <w:t>Bonus</w:t>
      </w:r>
    </w:p>
    <w:p>
      <w:r>
        <w:t>The annual bonus target is 8 percent of base salary for individual contributors and 15 percent for managers. Bonuses are paid in the March payroll.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Compensation Policy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