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Procedure</w:t>
      </w:r>
    </w:p>
    <w:p>
      <w:pPr>
        <w:pStyle w:val="Heading1"/>
      </w:pPr>
      <w:r>
        <w:t>Approval</w:t>
      </w:r>
    </w:p>
    <w:p>
      <w:r>
        <w:t>Every new position requires a headcount approval from the Finance Director before it is advertised.</w:t>
      </w:r>
    </w:p>
    <w:p>
      <w:pPr>
        <w:pStyle w:val="Heading1"/>
      </w:pPr>
      <w:r>
        <w:t>Interviews</w:t>
      </w:r>
    </w:p>
    <w:p>
      <w:r>
        <w:t>Candidates complete a screening call, a technical or practical assessment and a final panel interview. Interview notes are kept for 6 months.</w:t>
      </w:r>
    </w:p>
    <w:p>
      <w:pPr>
        <w:pStyle w:val="Heading1"/>
      </w:pPr>
      <w:r>
        <w:t>Offers</w:t>
      </w:r>
    </w:p>
    <w:p>
      <w:r>
        <w:t>Offers are issued by the People Team within 2 working days of the final decision. Offers above the salary band require written approval from the Finance Director.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Procedure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