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B4332"/>
          <w:sz w:val="40"/>
          <w:szCs w:val="40"/>
        </w:rPr>
        <w:t xml:space="preserve">AGRI-TRANSPORTATION &amp; MARKET LOGISTICS SYSTEM</w:t>
      </w:r>
    </w:p>
    <w:p>
      <w:pPr>
        <w:spacing w:after="60"/>
        <w:jc w:val="center"/>
      </w:pPr>
      <w:r>
        <w:rPr>
          <w:i/>
          <w:iCs/>
          <w:color w:val="40916C"/>
          <w:sz w:val="24"/>
          <w:szCs w:val="24"/>
        </w:rPr>
        <w:t xml:space="preserve">System Architecture — Version 2</w:t>
      </w:r>
    </w:p>
    <w:p>
      <w:pPr>
        <w:spacing w:after="300"/>
        <w:jc w:val="center"/>
      </w:pPr>
      <w:r>
        <w:rPr>
          <w:color w:val="555555"/>
          <w:sz w:val="20"/>
          <w:szCs w:val="20"/>
        </w:rPr>
        <w:t xml:space="preserve">Farm-to-Market Digital Logistics for Boxes-based Agri Trade (e.g., Local Farms → Chennai Market)</w:t>
      </w:r>
    </w:p>
    <w:p>
      <w:pPr>
        <w:pBdr>
          <w:bottom w:val="single" w:color="95D5B2" w:sz="6" w:space="1"/>
        </w:pBdr>
        <w:spacing w:after="200" w:before="200"/>
      </w:pPr>
    </w:p>
    <w:p>
      <w:pPr>
        <w:pStyle w:val="Heading1"/>
        <w:spacing w:after="160" w:before="320"/>
      </w:pPr>
      <w:r>
        <w:rPr>
          <w:b/>
          <w:bCs/>
          <w:color w:val="1B4332"/>
        </w:rPr>
        <w:t xml:space="preserve">1. System Overview &amp; Objectives</w:t>
      </w:r>
    </w:p>
    <w:p>
      <w:pPr>
        <w:spacing w:after="120"/>
      </w:pPr>
      <w:r>
        <w:t xml:space="preserve">This platform digitalizes the agricultural supply chain from rural farms to wholesale markets, connecting Farmers, Drivers, Transporters (Lorry Owners), Dispatch Coordinators, Market Workers (Sangam/Unloaders), and Shop Owners (Wholesale Buyers).</w:t>
      </w:r>
    </w:p>
    <w:p>
      <w:pPr>
        <w:pStyle w:val="ListParagraph"/>
        <w:numPr>
          <w:ilvl w:val="0"/>
          <w:numId w:val="2"/>
        </w:numPr>
        <w:spacing w:after="100"/>
      </w:pPr>
      <w:r>
        <w:rPr>
          <w:b/>
          <w:bCs/>
        </w:rPr>
        <w:t xml:space="preserve">Primary Metric: </w:t>
      </w:r>
      <w:r>
        <w:t xml:space="preserve">Tracking is done entirely via Boxes (not kilograms — weighing happens later at the shops).</w:t>
      </w:r>
    </w:p>
    <w:p>
      <w:pPr>
        <w:pStyle w:val="ListParagraph"/>
        <w:numPr>
          <w:ilvl w:val="0"/>
          <w:numId w:val="2"/>
        </w:numPr>
        <w:spacing w:after="100"/>
      </w:pPr>
      <w:r>
        <w:rPr>
          <w:b/>
          <w:bCs/>
        </w:rPr>
        <w:t xml:space="preserve">Monetization Strategy: </w:t>
      </w:r>
      <w:r>
        <w:t xml:space="preserve">Free for the first 1–2 years to build adoption. Post-adoption, a small service fee (₹1–₹5 per box) charged to Transporters, Market Workers, and Shop Owners.</w:t>
      </w:r>
    </w:p>
    <w:p>
      <w:pPr>
        <w:pStyle w:val="ListParagraph"/>
        <w:numPr>
          <w:ilvl w:val="0"/>
          <w:numId w:val="2"/>
        </w:numPr>
        <w:spacing w:after="100"/>
      </w:pPr>
      <w:r>
        <w:rPr>
          <w:b/>
          <w:bCs/>
        </w:rPr>
        <w:t xml:space="preserve">Localization: </w:t>
      </w:r>
      <w:r>
        <w:t xml:space="preserve">Multi-language support (Telugu, Tamil, English) is mandatory.</w:t>
      </w:r>
    </w:p>
    <w:p>
      <w:pPr>
        <w:pStyle w:val="ListParagraph"/>
        <w:numPr>
          <w:ilvl w:val="0"/>
          <w:numId w:val="2"/>
        </w:numPr>
        <w:spacing w:after="100"/>
      </w:pPr>
      <w:r>
        <w:rPr>
          <w:b/>
          <w:bCs/>
        </w:rPr>
        <w:t xml:space="preserve">Version 2 Focus: </w:t>
      </w:r>
      <w:r>
        <w:t xml:space="preserve">Accessibility for non-literate farmers, encrypted business-sensitive routing data, and dispute/fallback handling across the chain.</w:t>
      </w:r>
    </w:p>
    <w:p>
      <w:pPr>
        <w:pStyle w:val="Heading1"/>
        <w:spacing w:after="160" w:before="320"/>
      </w:pPr>
      <w:r>
        <w:rPr>
          <w:b/>
          <w:bCs/>
          <w:color w:val="1B4332"/>
        </w:rPr>
        <w:t xml:space="preserve">2. User Roles &amp; Core Dashboards</w:t>
      </w:r>
    </w:p>
    <w:p>
      <w:pPr>
        <w:pStyle w:val="Heading2"/>
        <w:spacing w:after="120" w:before="260"/>
      </w:pPr>
      <w:r>
        <w:rPr>
          <w:b/>
          <w:bCs/>
          <w:color w:val="2D6A4F"/>
        </w:rPr>
        <w:t xml:space="preserve">A. Transport Owner Dashboard (formerly “Transport Head” — same role, single name)</w:t>
      </w:r>
    </w:p>
    <w:p>
      <w:pPr>
        <w:spacing w:after="120"/>
      </w:pPr>
      <w:r>
        <w:t xml:space="preserve">The Transport Owner is the business/operational owner of the transport side. “Transport Head” and “Transport Owner” refer to the same single role.</w:t>
      </w:r>
    </w:p>
    <w:p>
      <w:pPr>
        <w:pStyle w:val="ListParagraph"/>
        <w:numPr>
          <w:ilvl w:val="0"/>
          <w:numId w:val="2"/>
        </w:numPr>
        <w:spacing w:after="100"/>
      </w:pPr>
      <w:r>
        <w:rPr>
          <w:b/>
          <w:bCs/>
        </w:rPr>
        <w:t xml:space="preserve">Request Initiation (on behalf of Farmer): </w:t>
      </w:r>
      <w:r>
        <w:t xml:space="preserve">if a Farmer can't use the app or doesn't want to deal with driver selection, the Transport Owner raises the pickup request for him, entering farmer details.</w:t>
      </w:r>
    </w:p>
    <w:p>
      <w:pPr>
        <w:pStyle w:val="ListParagraph"/>
        <w:numPr>
          <w:ilvl w:val="0"/>
          <w:numId w:val="2"/>
        </w:numPr>
        <w:spacing w:after="100"/>
      </w:pPr>
      <w:r>
        <w:rPr>
          <w:b/>
          <w:bCs/>
        </w:rPr>
        <w:t xml:space="preserve">Driver Assignment: </w:t>
      </w:r>
      <w:r>
        <w:t xml:space="preserve">for every request (whether raised by Farmer or by Transport Owner), the Transport Owner assigns a Driver — selected from a dropdown or entered manually.</w:t>
      </w:r>
    </w:p>
    <w:p>
      <w:pPr>
        <w:pStyle w:val="ListParagraph"/>
        <w:numPr>
          <w:ilvl w:val="0"/>
          <w:numId w:val="2"/>
        </w:numPr>
        <w:spacing w:after="80"/>
      </w:pPr>
      <w:r>
        <w:t xml:space="preserve">Fleet &amp; Trip Management: assigns drivers and vehicles to routes.</w:t>
      </w:r>
    </w:p>
    <w:p>
      <w:pPr>
        <w:pStyle w:val="ListParagraph"/>
        <w:numPr>
          <w:ilvl w:val="0"/>
          <w:numId w:val="2"/>
        </w:numPr>
        <w:spacing w:after="80"/>
      </w:pPr>
      <w:r>
        <w:t xml:space="preserve">Financial Tracking: total boxes transported, gross freight earned, platform usage.</w:t>
      </w:r>
    </w:p>
    <w:p>
      <w:pPr>
        <w:pStyle w:val="ListParagraph"/>
        <w:numPr>
          <w:ilvl w:val="0"/>
          <w:numId w:val="2"/>
        </w:numPr>
        <w:spacing w:after="80"/>
      </w:pPr>
      <w:r>
        <w:t xml:space="preserve">Delivery Verification: boxes loaded vs. boxes delivered.</w:t>
      </w:r>
    </w:p>
    <w:p>
      <w:pPr>
        <w:pStyle w:val="ListParagraph"/>
        <w:numPr>
          <w:ilvl w:val="0"/>
          <w:numId w:val="2"/>
        </w:numPr>
        <w:spacing w:after="100"/>
      </w:pPr>
      <w:r>
        <w:rPr>
          <w:b/>
          <w:bCs/>
        </w:rPr>
        <w:t xml:space="preserve">PIN Backup: </w:t>
      </w:r>
      <w:r>
        <w:t xml:space="preserve">receives the same 6-digit PIN as the Driver (see Section 3) the moment the pickup is submitted. If the Driver is unreachable at market, the Transport Owner can relay the PIN directly — no separate override action needed.</w:t>
      </w:r>
    </w:p>
    <w:p>
      <w:pPr>
        <w:pStyle w:val="Heading2"/>
        <w:spacing w:after="120" w:before="260"/>
      </w:pPr>
      <w:r>
        <w:rPr>
          <w:b/>
          <w:bCs/>
          <w:color w:val="2D6A4F"/>
        </w:rPr>
        <w:t xml:space="preserve">B. Farmer Dashboard</w:t>
      </w:r>
    </w:p>
    <w:p>
      <w:pPr>
        <w:pStyle w:val="ListParagraph"/>
        <w:numPr>
          <w:ilvl w:val="0"/>
          <w:numId w:val="2"/>
        </w:numPr>
        <w:spacing w:after="100"/>
      </w:pPr>
      <w:r>
        <w:rPr>
          <w:b/>
          <w:bCs/>
        </w:rPr>
        <w:t xml:space="preserve">Self-Initiated Request: </w:t>
      </w:r>
      <w:r>
        <w:t xml:space="preserve">Farmer can raise a pickup request himself, simply indicating produce is ready — no box count or shop-wise details are entered at this stage.</w:t>
      </w:r>
    </w:p>
    <w:p>
      <w:pPr>
        <w:pStyle w:val="ListParagraph"/>
        <w:numPr>
          <w:ilvl w:val="0"/>
          <w:numId w:val="2"/>
        </w:numPr>
        <w:spacing w:after="80"/>
      </w:pPr>
      <w:r>
        <w:t xml:space="preserve">Notified the moment a Driver is assigned to his request (before pickup happens).</w:t>
      </w:r>
    </w:p>
    <w:p>
      <w:pPr>
        <w:pStyle w:val="ListParagraph"/>
        <w:numPr>
          <w:ilvl w:val="0"/>
          <w:numId w:val="2"/>
        </w:numPr>
        <w:spacing w:after="100"/>
      </w:pPr>
      <w:r>
        <w:rPr>
          <w:b/>
          <w:bCs/>
        </w:rPr>
        <w:t xml:space="preserve">Post-Pickup Notification: </w:t>
      </w:r>
      <w:r>
        <w:t xml:space="preserve">once the Driver picks up the load and submits box count + shop-wise allocation, the Farmer is notified with the same full detail (no of boxes and shop list).</w:t>
      </w:r>
    </w:p>
    <w:p>
      <w:pPr>
        <w:pStyle w:val="ListParagraph"/>
        <w:numPr>
          <w:ilvl w:val="0"/>
          <w:numId w:val="2"/>
        </w:numPr>
        <w:spacing w:after="80"/>
      </w:pPr>
      <w:r>
        <w:t xml:space="preserve">Sticker Management: tracks box labeling/stickering before pickup.</w:t>
      </w:r>
    </w:p>
    <w:p>
      <w:pPr>
        <w:pStyle w:val="ListParagraph"/>
        <w:numPr>
          <w:ilvl w:val="0"/>
          <w:numId w:val="2"/>
        </w:numPr>
        <w:spacing w:after="80"/>
      </w:pPr>
      <w:r>
        <w:t xml:space="preserve">Shipment Tracking: live status from pickup to market delivery.</w:t>
      </w:r>
    </w:p>
    <w:p>
      <w:pPr>
        <w:pStyle w:val="ListParagraph"/>
        <w:numPr>
          <w:ilvl w:val="0"/>
          <w:numId w:val="2"/>
        </w:numPr>
        <w:spacing w:after="80"/>
      </w:pPr>
      <w:r>
        <w:t xml:space="preserve">Sees full final sale price once the Shop Owner closes the deal — full price transparency.</w:t>
      </w:r>
    </w:p>
    <w:p>
      <w:pPr>
        <w:spacing w:after="120"/>
      </w:pPr>
      <w:r>
        <w:t xml:space="preserve">Note: All notifications to the Farmer in this flow are one-way/informational. No confirm-or-dispute action is required from the Farmer at any stage (see Section 6 for the tradeoff this involves).</w:t>
      </w:r>
    </w:p>
    <w:p>
      <w:pPr>
        <w:pStyle w:val="Heading2"/>
        <w:spacing w:after="120" w:before="260"/>
      </w:pPr>
      <w:r>
        <w:rPr>
          <w:b/>
          <w:bCs/>
          <w:color w:val="2D6A4F"/>
        </w:rPr>
        <w:t xml:space="preserve">C. Driver Dashboard</w:t>
      </w:r>
    </w:p>
    <w:p>
      <w:pPr>
        <w:pStyle w:val="ListParagraph"/>
        <w:numPr>
          <w:ilvl w:val="0"/>
          <w:numId w:val="2"/>
        </w:numPr>
        <w:spacing w:after="80"/>
      </w:pPr>
      <w:r>
        <w:t xml:space="preserve">Notified immediately when the Transport Owner assigns him to a pickup, with farmer/pickup location details.</w:t>
      </w:r>
    </w:p>
    <w:p>
      <w:pPr>
        <w:pStyle w:val="ListParagraph"/>
        <w:numPr>
          <w:ilvl w:val="0"/>
          <w:numId w:val="2"/>
        </w:numPr>
        <w:spacing w:after="100"/>
      </w:pPr>
      <w:r>
        <w:rPr>
          <w:b/>
          <w:bCs/>
        </w:rPr>
        <w:t xml:space="preserve">Pickup Entry: </w:t>
      </w:r>
      <w:r>
        <w:t xml:space="preserve">on physically reaching the farm and collecting the load, the Driver enters the total box count and shop-wise allocation (e.g., 2 to KKR, 4 to TMK) — based on what the Farmer tells him verbally at that moment. This is the first point in the flow where shop-wise detail is captured.</w:t>
      </w:r>
    </w:p>
    <w:p>
      <w:pPr>
        <w:pStyle w:val="ListParagraph"/>
        <w:numPr>
          <w:ilvl w:val="0"/>
          <w:numId w:val="2"/>
        </w:numPr>
        <w:spacing w:after="100"/>
      </w:pPr>
      <w:r>
        <w:rPr>
          <w:b/>
          <w:bCs/>
        </w:rPr>
        <w:t xml:space="preserve">Shop Allocation &amp; Auto-Generated PIN: </w:t>
      </w:r>
      <w:r>
        <w:t xml:space="preserve">on submitting this entry, the system auto-generates a 6-digit PIN tied to this shipment, visible immediately to the Driver (and to the Transport Owner as backup). This PIN stays hidden from Sangam until the Driver or Transport Owner tells them.</w:t>
      </w:r>
    </w:p>
    <w:p>
      <w:pPr>
        <w:pStyle w:val="ListParagraph"/>
        <w:numPr>
          <w:ilvl w:val="0"/>
          <w:numId w:val="2"/>
        </w:numPr>
        <w:spacing w:after="80"/>
      </w:pPr>
      <w:r>
        <w:t xml:space="preserve">Freight (Badiga) Collection: tracks transport charges collected per box (e.g., ₹100–₹150) from shops on arrival.</w:t>
      </w:r>
    </w:p>
    <w:p>
      <w:pPr>
        <w:pStyle w:val="ListParagraph"/>
        <w:numPr>
          <w:ilvl w:val="0"/>
          <w:numId w:val="2"/>
        </w:numPr>
        <w:spacing w:after="80"/>
      </w:pPr>
      <w:r>
        <w:t xml:space="preserve">At market, the Driver simply tells the Sangam supervisor the PIN once they've agreed to unload; Sangam enters it into the app to unlock the shop-wise allocation — no in-app reveal action needed from the Driver.</w:t>
      </w:r>
    </w:p>
    <w:p>
      <w:pPr>
        <w:pStyle w:val="Heading2"/>
        <w:spacing w:after="120" w:before="260"/>
      </w:pPr>
      <w:r>
        <w:rPr>
          <w:b/>
          <w:bCs/>
          <w:color w:val="2D6A4F"/>
        </w:rPr>
        <w:t xml:space="preserve">D. Notification Summary at Pickup Submission</w:t>
      </w:r>
    </w:p>
    <w:p>
      <w:pPr>
        <w:spacing w:after="120"/>
      </w:pPr>
      <w:r>
        <w:t xml:space="preserve">When the Driver submits the pickup entry (box count + shop-wise allocation), notifications go out to three parties simultaneously, each scoped to their own relevance:</w:t>
      </w:r>
    </w:p>
    <w:p>
      <w:pPr>
        <w:pStyle w:val="ListParagraph"/>
        <w:numPr>
          <w:ilvl w:val="0"/>
          <w:numId w:val="2"/>
        </w:numPr>
        <w:spacing w:after="80"/>
      </w:pPr>
      <w:r>
        <w:t xml:space="preserve">Farmer — sees full detail: total boxes and complete shop-wise list.</w:t>
      </w:r>
    </w:p>
    <w:p>
      <w:pPr>
        <w:pStyle w:val="ListParagraph"/>
        <w:numPr>
          <w:ilvl w:val="0"/>
          <w:numId w:val="2"/>
        </w:numPr>
        <w:spacing w:after="80"/>
      </w:pPr>
      <w:r>
        <w:t xml:space="preserve">Transport Owner — sees full detail: total boxes and complete shop-wise list.</w:t>
      </w:r>
    </w:p>
    <w:p>
      <w:pPr>
        <w:pStyle w:val="ListParagraph"/>
        <w:numPr>
          <w:ilvl w:val="0"/>
          <w:numId w:val="2"/>
        </w:numPr>
        <w:spacing w:after="80"/>
      </w:pPr>
      <w:r>
        <w:t xml:space="preserve">Each Shop Owner — sees only their own allocation (e.g., the KKR shop owner sees only “2 boxes,” not the full 20-box breakdown).</w:t>
      </w:r>
    </w:p>
    <w:p>
      <w:pPr>
        <w:pStyle w:val="Heading2"/>
        <w:spacing w:after="120" w:before="260"/>
      </w:pPr>
      <w:r>
        <w:rPr>
          <w:b/>
          <w:bCs/>
          <w:color w:val="2D6A4F"/>
        </w:rPr>
        <w:t xml:space="preserve">E. Market Workers (Sangam / Unloaders) Dashboard</w:t>
      </w:r>
    </w:p>
    <w:p>
      <w:pPr>
        <w:pStyle w:val="ListParagraph"/>
        <w:numPr>
          <w:ilvl w:val="0"/>
          <w:numId w:val="2"/>
        </w:numPr>
        <w:spacing w:after="80"/>
      </w:pPr>
      <w:r>
        <w:t xml:space="preserve">Truck Arrival &amp; Unloading Entry: assigned union member logs in using the Vehicle Number when a truck arrives.</w:t>
      </w:r>
    </w:p>
    <w:p>
      <w:pPr>
        <w:pStyle w:val="ListParagraph"/>
        <w:numPr>
          <w:ilvl w:val="0"/>
          <w:numId w:val="2"/>
        </w:numPr>
        <w:spacing w:after="80"/>
      </w:pPr>
      <w:r>
        <w:t xml:space="preserve">Box Counting &amp; Sorting: cross-verifies stickers and sorts boxes — shop-wise routing details only visible after entering the correct PIN, told to them by the Driver or Transport Owner.</w:t>
      </w:r>
    </w:p>
    <w:p>
      <w:pPr>
        <w:pStyle w:val="ListParagraph"/>
        <w:numPr>
          <w:ilvl w:val="0"/>
          <w:numId w:val="2"/>
        </w:numPr>
        <w:spacing w:after="80"/>
      </w:pPr>
      <w:r>
        <w:t xml:space="preserve">Labor Tracking: supervisor enters Worker ID and logs boxes moved to each shop by that worker.</w:t>
      </w:r>
    </w:p>
    <w:p>
      <w:pPr>
        <w:pStyle w:val="ListParagraph"/>
        <w:numPr>
          <w:ilvl w:val="0"/>
          <w:numId w:val="2"/>
        </w:numPr>
        <w:spacing w:after="80"/>
      </w:pPr>
      <w:r>
        <w:t xml:space="preserve">Service Charge (Coolie) Ledger: tracks unloading charges (e.g., ₹15–₹20 per box).</w:t>
      </w:r>
    </w:p>
    <w:p>
      <w:pPr>
        <w:pStyle w:val="ListParagraph"/>
        <w:numPr>
          <w:ilvl w:val="0"/>
          <w:numId w:val="2"/>
        </w:numPr>
        <w:spacing w:after="80"/>
      </w:pPr>
      <w:r>
        <w:t xml:space="preserve">Digital Payments: settles unloading charges via UPI/PhonePe or Cash.</w:t>
      </w:r>
    </w:p>
    <w:p>
      <w:pPr>
        <w:pStyle w:val="ListParagraph"/>
        <w:numPr>
          <w:ilvl w:val="0"/>
          <w:numId w:val="2"/>
        </w:numPr>
        <w:spacing w:after="100"/>
      </w:pPr>
      <w:r>
        <w:rPr>
          <w:b/>
          <w:bCs/>
        </w:rPr>
        <w:t xml:space="preserve">Discrepancy Tickets: </w:t>
      </w:r>
      <w:r>
        <w:t xml:space="preserve">if a Shop Owner logs a mismatch, an auto-generated ticket tags the Sangam supervisor and Driver; a reason code (damaged / short-loaded / misrouted) is required within a time window, escalating to the Transporter if unresolved.</w:t>
      </w:r>
    </w:p>
    <w:p>
      <w:pPr>
        <w:pStyle w:val="Heading2"/>
        <w:spacing w:after="120" w:before="260"/>
      </w:pPr>
      <w:r>
        <w:rPr>
          <w:b/>
          <w:bCs/>
          <w:color w:val="2D6A4F"/>
        </w:rPr>
        <w:t xml:space="preserve">F. Shop Owner (Wholesale Buyer) Dashboard</w:t>
      </w:r>
    </w:p>
    <w:p>
      <w:pPr>
        <w:pStyle w:val="ListParagraph"/>
        <w:numPr>
          <w:ilvl w:val="0"/>
          <w:numId w:val="2"/>
        </w:numPr>
        <w:spacing w:after="100"/>
      </w:pPr>
      <w:r>
        <w:rPr>
          <w:b/>
          <w:bCs/>
        </w:rPr>
        <w:t xml:space="preserve">Inbound Inventory Forecast: </w:t>
      </w:r>
      <w:r>
        <w:t xml:space="preserve">sees only their own expected box count in advance (other shops' allocations remain hidden).</w:t>
      </w:r>
    </w:p>
    <w:p>
      <w:pPr>
        <w:pStyle w:val="ListParagraph"/>
        <w:numPr>
          <w:ilvl w:val="0"/>
          <w:numId w:val="2"/>
        </w:numPr>
        <w:spacing w:after="80"/>
      </w:pPr>
      <w:r>
        <w:t xml:space="preserve">Unloading &amp; Delivery Confirmation: real-time visibility into boxes unloaded at the gate and en route via push-cart.</w:t>
      </w:r>
    </w:p>
    <w:p>
      <w:pPr>
        <w:pStyle w:val="ListParagraph"/>
        <w:numPr>
          <w:ilvl w:val="0"/>
          <w:numId w:val="2"/>
        </w:numPr>
        <w:spacing w:after="80"/>
      </w:pPr>
      <w:r>
        <w:t xml:space="preserve">Discrepancy Check: instant shortage view (e.g., Expected 50, only 45 unloaded) — auto-raises a ticket.</w:t>
      </w:r>
    </w:p>
    <w:p>
      <w:pPr>
        <w:pStyle w:val="ListParagraph"/>
        <w:numPr>
          <w:ilvl w:val="0"/>
          <w:numId w:val="2"/>
        </w:numPr>
        <w:spacing w:after="80"/>
      </w:pPr>
      <w:r>
        <w:t xml:space="preserve">Payment Gateway: pays transport fees to the Lorry Owner and unloading fees to the Sangam digitally.</w:t>
      </w:r>
    </w:p>
    <w:p>
      <w:pPr>
        <w:pStyle w:val="ListParagraph"/>
        <w:numPr>
          <w:ilvl w:val="0"/>
          <w:numId w:val="2"/>
        </w:numPr>
        <w:spacing w:after="100"/>
      </w:pPr>
      <w:r>
        <w:rPr>
          <w:b/>
          <w:bCs/>
        </w:rPr>
        <w:t xml:space="preserve">Partial Sale Logging: </w:t>
      </w:r>
      <w:r>
        <w:t xml:space="preserve">logs sales incrementally (e.g., “30 of 50 boxes sold at ₹X, 20 pending”) rather than one binary “deal closed” event; unsold stock is tagged carried forward / discarded / returned at day's end.</w:t>
      </w:r>
    </w:p>
    <w:p>
      <w:pPr>
        <w:pStyle w:val="ListParagraph"/>
        <w:numPr>
          <w:ilvl w:val="0"/>
          <w:numId w:val="2"/>
        </w:numPr>
        <w:spacing w:after="80"/>
      </w:pPr>
      <w:r>
        <w:t xml:space="preserve">Final Weight Log: optional manual kg entry once weighing is completed.</w:t>
      </w:r>
    </w:p>
    <w:p>
      <w:pPr>
        <w:pStyle w:val="Heading1"/>
        <w:spacing w:after="160" w:before="320"/>
      </w:pPr>
      <w:r>
        <w:rPr>
          <w:b/>
          <w:bCs/>
          <w:color w:val="1B4332"/>
        </w:rPr>
        <w:t xml:space="preserve">3. Business-Sensitive Data Protection (6-Digit PIN Mechanism)</w:t>
      </w:r>
    </w:p>
    <w:p>
      <w:pPr>
        <w:spacing w:after="120"/>
      </w:pPr>
      <w:r>
        <w:t xml:space="preserve">Shop-wise box distribution is commercially sensitive — it reveals which shops get preferential allocation and could enable front-running or price collusion if visible to all parties prematurely. Version 2 protects this with a simple shared-PIN mechanism instead of a formal OTP flow.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rPr>
          <w:tblHeader/>
        </w:trPr>
        <w:tc>
          <w:tcPr>
            <w:tcW w:type="dxa" w:w="2800"/>
            <w:shd w:fill="1B4332" w:val="clear"/>
            <w:tcMar>
              <w:top w:type="dxa" w:w="100"/>
              <w:left w:type="dxa" w:w="120"/>
              <w:bottom w:type="dxa" w:w="100"/>
              <w:right w:type="dxa" w:w="120"/>
            </w:tcMar>
          </w:tcPr>
          <w:p>
            <w:pPr>
              <w:jc w:val="left"/>
            </w:pPr>
            <w:r>
              <w:rPr>
                <w:b/>
                <w:bCs/>
                <w:color w:val="FFFFFF"/>
              </w:rPr>
              <w:t xml:space="preserve">Aspect</w:t>
            </w:r>
          </w:p>
        </w:tc>
        <w:tc>
          <w:tcPr>
            <w:tcW w:type="dxa" w:w="7000"/>
            <w:shd w:fill="1B4332" w:val="clear"/>
            <w:tcMar>
              <w:top w:type="dxa" w:w="100"/>
              <w:left w:type="dxa" w:w="120"/>
              <w:bottom w:type="dxa" w:w="100"/>
              <w:right w:type="dxa" w:w="120"/>
            </w:tcMar>
          </w:tcPr>
          <w:p>
            <w:pPr>
              <w:jc w:val="left"/>
            </w:pPr>
            <w:r>
              <w:rPr>
                <w:b/>
                <w:bCs/>
                <w:color w:val="FFFFFF"/>
              </w:rPr>
              <w:t xml:space="preserve">Design Decision</w:t>
            </w:r>
          </w:p>
        </w:tc>
      </w:tr>
      <w:tr>
        <w:tc>
          <w:tcPr>
            <w:tcW w:type="dxa" w:w="2800"/>
            <w:tcMar>
              <w:top w:type="dxa" w:w="100"/>
              <w:left w:type="dxa" w:w="120"/>
              <w:bottom w:type="dxa" w:w="100"/>
              <w:right w:type="dxa" w:w="120"/>
            </w:tcMar>
          </w:tcPr>
          <w:p>
            <w:pPr>
              <w:jc w:val="left"/>
            </w:pPr>
            <w:r>
              <w:rPr>
                <w:b w:val="false"/>
                <w:bCs w:val="false"/>
                <w:color w:val="000000"/>
              </w:rPr>
              <w:t xml:space="preserve">PIN generation</w:t>
            </w:r>
          </w:p>
        </w:tc>
        <w:tc>
          <w:tcPr>
            <w:tcW w:type="dxa" w:w="7000"/>
            <w:tcMar>
              <w:top w:type="dxa" w:w="100"/>
              <w:left w:type="dxa" w:w="120"/>
              <w:bottom w:type="dxa" w:w="100"/>
              <w:right w:type="dxa" w:w="120"/>
            </w:tcMar>
          </w:tcPr>
          <w:p>
            <w:pPr>
              <w:jc w:val="left"/>
            </w:pPr>
            <w:r>
              <w:rPr>
                <w:b w:val="false"/>
                <w:bCs w:val="false"/>
                <w:color w:val="000000"/>
              </w:rPr>
              <w:t xml:space="preserve">System auto-generates a 6-digit PIN the moment the Driver submits the pickup entry (box count + shop-wise allocation).</w:t>
            </w:r>
          </w:p>
        </w:tc>
      </w:tr>
      <w:tr>
        <w:tc>
          <w:tcPr>
            <w:tcW w:type="dxa" w:w="2800"/>
            <w:shd w:fill="F1F8F4" w:val="clear"/>
            <w:tcMar>
              <w:top w:type="dxa" w:w="100"/>
              <w:left w:type="dxa" w:w="120"/>
              <w:bottom w:type="dxa" w:w="100"/>
              <w:right w:type="dxa" w:w="120"/>
            </w:tcMar>
          </w:tcPr>
          <w:p>
            <w:pPr>
              <w:jc w:val="left"/>
            </w:pPr>
            <w:r>
              <w:rPr>
                <w:b w:val="false"/>
                <w:bCs w:val="false"/>
                <w:color w:val="000000"/>
              </w:rPr>
              <w:t xml:space="preserve">Who sees it</w:t>
            </w:r>
          </w:p>
        </w:tc>
        <w:tc>
          <w:tcPr>
            <w:tcW w:type="dxa" w:w="7000"/>
            <w:shd w:fill="F1F8F4" w:val="clear"/>
            <w:tcMar>
              <w:top w:type="dxa" w:w="100"/>
              <w:left w:type="dxa" w:w="120"/>
              <w:bottom w:type="dxa" w:w="100"/>
              <w:right w:type="dxa" w:w="120"/>
            </w:tcMar>
          </w:tcPr>
          <w:p>
            <w:pPr>
              <w:jc w:val="left"/>
            </w:pPr>
            <w:r>
              <w:rPr>
                <w:b w:val="false"/>
                <w:bCs w:val="false"/>
                <w:color w:val="000000"/>
              </w:rPr>
              <w:t xml:space="preserve">Visible immediately to the Driver, and to the Transport Owner as a standing backup — both see the same PIN, no separate reveal action required.</w:t>
            </w:r>
          </w:p>
        </w:tc>
      </w:tr>
      <w:tr>
        <w:tc>
          <w:tcPr>
            <w:tcW w:type="dxa" w:w="2800"/>
            <w:tcMar>
              <w:top w:type="dxa" w:w="100"/>
              <w:left w:type="dxa" w:w="120"/>
              <w:bottom w:type="dxa" w:w="100"/>
              <w:right w:type="dxa" w:w="120"/>
            </w:tcMar>
          </w:tcPr>
          <w:p>
            <w:pPr>
              <w:jc w:val="left"/>
            </w:pPr>
            <w:r>
              <w:rPr>
                <w:b w:val="false"/>
                <w:bCs w:val="false"/>
                <w:color w:val="000000"/>
              </w:rPr>
              <w:t xml:space="preserve">Handoff to Sangam</w:t>
            </w:r>
          </w:p>
        </w:tc>
        <w:tc>
          <w:tcPr>
            <w:tcW w:type="dxa" w:w="7000"/>
            <w:tcMar>
              <w:top w:type="dxa" w:w="100"/>
              <w:left w:type="dxa" w:w="120"/>
              <w:bottom w:type="dxa" w:w="100"/>
              <w:right w:type="dxa" w:w="120"/>
            </w:tcMar>
          </w:tcPr>
          <w:p>
            <w:pPr>
              <w:jc w:val="left"/>
            </w:pPr>
            <w:r>
              <w:rPr>
                <w:b w:val="false"/>
                <w:bCs w:val="false"/>
                <w:color w:val="000000"/>
              </w:rPr>
              <w:t xml:space="preserve">Purely verbal: once Driver and Sangam supervisor agree to unload, the Driver (or Transport Owner, if Driver is unreachable) tells them the PIN.</w:t>
            </w:r>
          </w:p>
        </w:tc>
      </w:tr>
      <w:tr>
        <w:tc>
          <w:tcPr>
            <w:tcW w:type="dxa" w:w="2800"/>
            <w:shd w:fill="F1F8F4" w:val="clear"/>
            <w:tcMar>
              <w:top w:type="dxa" w:w="100"/>
              <w:left w:type="dxa" w:w="120"/>
              <w:bottom w:type="dxa" w:w="100"/>
              <w:right w:type="dxa" w:w="120"/>
            </w:tcMar>
          </w:tcPr>
          <w:p>
            <w:pPr>
              <w:jc w:val="left"/>
            </w:pPr>
            <w:r>
              <w:rPr>
                <w:b w:val="false"/>
                <w:bCs w:val="false"/>
                <w:color w:val="000000"/>
              </w:rPr>
              <w:t xml:space="preserve">Verification</w:t>
            </w:r>
          </w:p>
        </w:tc>
        <w:tc>
          <w:tcPr>
            <w:tcW w:type="dxa" w:w="7000"/>
            <w:shd w:fill="F1F8F4" w:val="clear"/>
            <w:tcMar>
              <w:top w:type="dxa" w:w="100"/>
              <w:left w:type="dxa" w:w="120"/>
              <w:bottom w:type="dxa" w:w="100"/>
              <w:right w:type="dxa" w:w="120"/>
            </w:tcMar>
          </w:tcPr>
          <w:p>
            <w:pPr>
              <w:jc w:val="left"/>
            </w:pPr>
            <w:r>
              <w:rPr>
                <w:b w:val="false"/>
                <w:bCs w:val="false"/>
                <w:color w:val="000000"/>
              </w:rPr>
              <w:t xml:space="preserve">Sangam supervisor enters the PIN into the app; a server-side check (Cloud Function) validates it against the stored value — the correct PIN is never exposed to Sangam's client directly.</w:t>
            </w:r>
          </w:p>
        </w:tc>
      </w:tr>
      <w:tr>
        <w:tc>
          <w:tcPr>
            <w:tcW w:type="dxa" w:w="2800"/>
            <w:tcMar>
              <w:top w:type="dxa" w:w="100"/>
              <w:left w:type="dxa" w:w="120"/>
              <w:bottom w:type="dxa" w:w="100"/>
              <w:right w:type="dxa" w:w="120"/>
            </w:tcMar>
          </w:tcPr>
          <w:p>
            <w:pPr>
              <w:jc w:val="left"/>
            </w:pPr>
            <w:r>
              <w:rPr>
                <w:b w:val="false"/>
                <w:bCs w:val="false"/>
                <w:color w:val="000000"/>
              </w:rPr>
              <w:t xml:space="preserve">Retry limit</w:t>
            </w:r>
          </w:p>
        </w:tc>
        <w:tc>
          <w:tcPr>
            <w:tcW w:type="dxa" w:w="7000"/>
            <w:tcMar>
              <w:top w:type="dxa" w:w="100"/>
              <w:left w:type="dxa" w:w="120"/>
              <w:bottom w:type="dxa" w:w="100"/>
              <w:right w:type="dxa" w:w="120"/>
            </w:tcMar>
          </w:tcPr>
          <w:p>
            <w:pPr>
              <w:jc w:val="left"/>
            </w:pPr>
            <w:r>
              <w:rPr>
                <w:b w:val="false"/>
                <w:bCs w:val="false"/>
                <w:color w:val="000000"/>
              </w:rPr>
              <w:t xml:space="preserve">Maximum 5 incorrect attempts per shipment. On the 5th failed attempt, entry locks for 15 minutes and the Transport Owner is notified of the failed attempts.</w:t>
            </w:r>
          </w:p>
        </w:tc>
      </w:tr>
      <w:tr>
        <w:tc>
          <w:tcPr>
            <w:tcW w:type="dxa" w:w="2800"/>
            <w:shd w:fill="F1F8F4" w:val="clear"/>
            <w:tcMar>
              <w:top w:type="dxa" w:w="100"/>
              <w:left w:type="dxa" w:w="120"/>
              <w:bottom w:type="dxa" w:w="100"/>
              <w:right w:type="dxa" w:w="120"/>
            </w:tcMar>
          </w:tcPr>
          <w:p>
            <w:pPr>
              <w:jc w:val="left"/>
            </w:pPr>
            <w:r>
              <w:rPr>
                <w:b w:val="false"/>
                <w:bCs w:val="false"/>
                <w:color w:val="000000"/>
              </w:rPr>
              <w:t xml:space="preserve">Single-use unlock</w:t>
            </w:r>
          </w:p>
        </w:tc>
        <w:tc>
          <w:tcPr>
            <w:tcW w:type="dxa" w:w="7000"/>
            <w:shd w:fill="F1F8F4" w:val="clear"/>
            <w:tcMar>
              <w:top w:type="dxa" w:w="100"/>
              <w:left w:type="dxa" w:w="120"/>
              <w:bottom w:type="dxa" w:w="100"/>
              <w:right w:type="dxa" w:w="120"/>
            </w:tcMar>
          </w:tcPr>
          <w:p>
            <w:pPr>
              <w:jc w:val="left"/>
            </w:pPr>
            <w:r>
              <w:rPr>
                <w:b w:val="false"/>
                <w:bCs w:val="false"/>
                <w:color w:val="000000"/>
              </w:rPr>
              <w:t xml:space="preserve">Once verified, the shipment's shop-wise data stays unlocked for that Sangam session going forward — no need to re-enter the PIN repeatedly.</w:t>
            </w:r>
          </w:p>
        </w:tc>
      </w:tr>
      <w:tr>
        <w:tc>
          <w:tcPr>
            <w:tcW w:type="dxa" w:w="2800"/>
            <w:tcMar>
              <w:top w:type="dxa" w:w="100"/>
              <w:left w:type="dxa" w:w="120"/>
              <w:bottom w:type="dxa" w:w="100"/>
              <w:right w:type="dxa" w:w="120"/>
            </w:tcMar>
          </w:tcPr>
          <w:p>
            <w:pPr>
              <w:jc w:val="left"/>
            </w:pPr>
            <w:r>
              <w:rPr>
                <w:b w:val="false"/>
                <w:bCs w:val="false"/>
                <w:color w:val="000000"/>
              </w:rPr>
              <w:t xml:space="preserve">Session binding</w:t>
            </w:r>
          </w:p>
        </w:tc>
        <w:tc>
          <w:tcPr>
            <w:tcW w:type="dxa" w:w="7000"/>
            <w:tcMar>
              <w:top w:type="dxa" w:w="100"/>
              <w:left w:type="dxa" w:w="120"/>
              <w:bottom w:type="dxa" w:w="100"/>
              <w:right w:type="dxa" w:w="120"/>
            </w:tcMar>
          </w:tcPr>
          <w:p>
            <w:pPr>
              <w:jc w:val="left"/>
            </w:pPr>
            <w:r>
              <w:rPr>
                <w:b w:val="false"/>
                <w:bCs w:val="false"/>
                <w:color w:val="000000"/>
              </w:rPr>
              <w:t xml:space="preserve">Verification is tied to the Sangam supervisor's session, logged in under that truck's Vehicle Number, so a PIN cannot be used outside that specific unload session.</w:t>
            </w:r>
          </w:p>
        </w:tc>
      </w:tr>
      <w:tr>
        <w:tc>
          <w:tcPr>
            <w:tcW w:type="dxa" w:w="2800"/>
            <w:shd w:fill="F1F8F4" w:val="clear"/>
            <w:tcMar>
              <w:top w:type="dxa" w:w="100"/>
              <w:left w:type="dxa" w:w="120"/>
              <w:bottom w:type="dxa" w:w="100"/>
              <w:right w:type="dxa" w:w="120"/>
            </w:tcMar>
          </w:tcPr>
          <w:p>
            <w:pPr>
              <w:jc w:val="left"/>
            </w:pPr>
            <w:r>
              <w:rPr>
                <w:b w:val="false"/>
                <w:bCs w:val="false"/>
                <w:color w:val="000000"/>
              </w:rPr>
              <w:t xml:space="preserve">Expiry</w:t>
            </w:r>
          </w:p>
        </w:tc>
        <w:tc>
          <w:tcPr>
            <w:tcW w:type="dxa" w:w="7000"/>
            <w:shd w:fill="F1F8F4" w:val="clear"/>
            <w:tcMar>
              <w:top w:type="dxa" w:w="100"/>
              <w:left w:type="dxa" w:w="120"/>
              <w:bottom w:type="dxa" w:w="100"/>
              <w:right w:type="dxa" w:w="120"/>
            </w:tcMar>
          </w:tcPr>
          <w:p>
            <w:pPr>
              <w:jc w:val="left"/>
            </w:pPr>
            <w:r>
              <w:rPr>
                <w:b w:val="false"/>
                <w:bCs w:val="false"/>
                <w:color w:val="000000"/>
              </w:rPr>
              <w:t xml:space="preserve">PIN auto-expires after a fixed window (e.g., 24 hours), given produce is perishable and shipments don't sit around for days.</w:t>
            </w:r>
          </w:p>
        </w:tc>
      </w:tr>
    </w:tbl>
    <w:p>
      <w:pPr>
        <w:pStyle w:val="Heading1"/>
        <w:spacing w:after="160" w:before="320"/>
      </w:pPr>
      <w:r>
        <w:rPr>
          <w:b/>
          <w:bCs/>
          <w:color w:val="1B4332"/>
        </w:rPr>
        <w:t xml:space="preserve">4. End-to-End Operational Flow (Revised)</w:t>
      </w:r>
    </w:p>
    <w:p>
      <w:pPr>
        <w:spacing w:after="100"/>
      </w:pPr>
      <w:r>
        <w:rPr>
          <w:i/>
          <w:iCs/>
          <w:color w:val="40916C"/>
        </w:rPr>
        <w:t xml:space="preserve">[Farmer OR Transport Owner Raises Request] ➡️ [Transport Owner Assigns Driver — Farmer &amp; Driver Notified] ➡️ [Driver Travels &amp; Picks Up Load]</w:t>
      </w:r>
    </w:p>
    <w:p>
      <w:pPr>
        <w:spacing w:after="100"/>
      </w:pPr>
      <w:r>
        <w:rPr>
          <w:i/>
          <w:iCs/>
          <w:color w:val="40916C"/>
        </w:rPr>
        <w:t xml:space="preserve">[Driver Enters Box Count + Shop-wise List — 6-Digit PIN Generated] ➡️ [Farmer, Transport Owner &amp; Each Shop Owner Notified] ➡️ [Transport to Chennai]</w:t>
      </w:r>
    </w:p>
    <w:p>
      <w:pPr>
        <w:spacing w:after="200"/>
      </w:pPr>
      <w:r>
        <w:rPr>
          <w:i/>
          <w:iCs/>
          <w:color w:val="40916C"/>
        </w:rPr>
        <w:t xml:space="preserve">[Shop Owner Sells &amp; Logs Sale, Farmer Sees Price] ➡️ [Sangam Delivers to Shops via Cart IDs] ➡️ [Driver Shares PIN with Sangam] ➡️ [Truck Arrives, Sangam Logs Unload]</w:t>
      </w:r>
    </w:p>
    <w:p>
      <w:pPr>
        <w:pStyle w:val="Heading3"/>
        <w:spacing w:after="100" w:before="200"/>
      </w:pPr>
      <w:r>
        <w:rPr>
          <w:b/>
          <w:bCs/>
          <w:color w:val="40916C"/>
        </w:rPr>
        <w:t xml:space="preserve">Step-by-step</w:t>
      </w:r>
    </w:p>
    <w:p>
      <w:pPr>
        <w:pStyle w:val="ListParagraph"/>
        <w:numPr>
          <w:ilvl w:val="0"/>
          <w:numId w:val="2"/>
        </w:numPr>
        <w:spacing w:after="100"/>
      </w:pPr>
      <w:r>
        <w:rPr>
          <w:b/>
          <w:bCs/>
        </w:rPr>
        <w:t xml:space="preserve">Request Initiation: </w:t>
      </w:r>
      <w:r>
        <w:t xml:space="preserve">Farmer raises a pickup request himself (just signaling produce is ready — no details yet), OR the Transport Owner raises it on the farmer's behalf if he can't use the app or prefers not to pick a driver. No shop-wise or box detail is captured at this step.</w:t>
      </w:r>
    </w:p>
    <w:p>
      <w:pPr>
        <w:pStyle w:val="ListParagraph"/>
        <w:numPr>
          <w:ilvl w:val="0"/>
          <w:numId w:val="2"/>
        </w:numPr>
        <w:spacing w:after="100"/>
      </w:pPr>
      <w:r>
        <w:rPr>
          <w:b/>
          <w:bCs/>
        </w:rPr>
        <w:t xml:space="preserve">Driver Assignment: </w:t>
      </w:r>
      <w:r>
        <w:t xml:space="preserve">Transport Owner selects a Driver (dropdown or manual entry). Both Farmer and Driver are notified immediately — this is purely informational, no confirmation required from either.</w:t>
      </w:r>
    </w:p>
    <w:p>
      <w:pPr>
        <w:pStyle w:val="ListParagraph"/>
        <w:numPr>
          <w:ilvl w:val="0"/>
          <w:numId w:val="2"/>
        </w:numPr>
        <w:spacing w:after="100"/>
      </w:pPr>
      <w:r>
        <w:rPr>
          <w:b/>
          <w:bCs/>
        </w:rPr>
        <w:t xml:space="preserve">Pickup: </w:t>
      </w:r>
      <w:r>
        <w:t xml:space="preserve">Driver travels to the farm and collects the load. The Farmer tells him verbally how many boxes go to which shop; the Driver enters this total box count and shop-wise allocation into the app at this point — the first time this detail exists in the system.</w:t>
      </w:r>
    </w:p>
    <w:p>
      <w:pPr>
        <w:pStyle w:val="ListParagraph"/>
        <w:numPr>
          <w:ilvl w:val="0"/>
          <w:numId w:val="2"/>
        </w:numPr>
        <w:spacing w:after="100"/>
      </w:pPr>
      <w:r>
        <w:rPr>
          <w:b/>
          <w:bCs/>
        </w:rPr>
        <w:t xml:space="preserve">Pickup Submission: </w:t>
      </w:r>
      <w:r>
        <w:t xml:space="preserve">On submission, the system auto-generates a 6-digit PIN, visible to the Driver and Transport Owner (hidden from Sangam). Farmer and Transport Owner are notified with full detail; each Shop Owner is notified with only their own allocation.</w:t>
      </w:r>
    </w:p>
    <w:p>
      <w:pPr>
        <w:pStyle w:val="ListParagraph"/>
        <w:numPr>
          <w:ilvl w:val="0"/>
          <w:numId w:val="2"/>
        </w:numPr>
        <w:spacing w:after="100"/>
      </w:pPr>
      <w:r>
        <w:rPr>
          <w:b/>
          <w:bCs/>
        </w:rPr>
        <w:t xml:space="preserve">Market Arrival: </w:t>
      </w:r>
      <w:r>
        <w:t xml:space="preserve">Sangam supervisor logs truck number via Vehicle Number login. Once Driver and Sangam agree to unload, the Driver (or Transport Owner, if unreachable) tells them the PIN; Sangam enters it to unlock the shop-wise allocation.</w:t>
      </w:r>
    </w:p>
    <w:p>
      <w:pPr>
        <w:pStyle w:val="ListParagraph"/>
        <w:numPr>
          <w:ilvl w:val="0"/>
          <w:numId w:val="2"/>
        </w:numPr>
        <w:spacing w:after="100"/>
      </w:pPr>
      <w:r>
        <w:rPr>
          <w:b/>
          <w:bCs/>
        </w:rPr>
        <w:t xml:space="preserve">Unloading &amp; Distribution: </w:t>
      </w:r>
      <w:r>
        <w:t xml:space="preserve">Sangam verifies box count, assigns Worker IDs, and routes boxes to shops via push-cart. Any mismatch auto-raises a discrepancy ticket.</w:t>
      </w:r>
    </w:p>
    <w:p>
      <w:pPr>
        <w:pStyle w:val="ListParagraph"/>
        <w:numPr>
          <w:ilvl w:val="0"/>
          <w:numId w:val="2"/>
        </w:numPr>
        <w:spacing w:after="200"/>
      </w:pPr>
      <w:r>
        <w:rPr>
          <w:b/>
          <w:bCs/>
        </w:rPr>
        <w:t xml:space="preserve">Shop Sale &amp; Settlement: </w:t>
      </w:r>
      <w:r>
        <w:t xml:space="preserve">Shop Owner logs sale (partial or full) and pays transport &amp; labor fees. Farmer sees the full sale price; Driver and Transport Owner are notified of closure.</w:t>
      </w:r>
    </w:p>
    <w:p>
      <w:pPr>
        <w:pStyle w:val="Heading1"/>
        <w:spacing w:after="160" w:before="320"/>
      </w:pPr>
      <w:r>
        <w:rPr>
          <w:b/>
          <w:bCs/>
          <w:color w:val="1B4332"/>
        </w:rPr>
        <w:t xml:space="preserve">5. Technical Architecture &amp; Cost Estimates</w:t>
      </w:r>
    </w:p>
    <w:p>
      <w:pPr>
        <w:pStyle w:val="ListParagraph"/>
        <w:numPr>
          <w:ilvl w:val="0"/>
          <w:numId w:val="2"/>
        </w:numPr>
        <w:spacing w:after="100"/>
      </w:pPr>
      <w:r>
        <w:rPr>
          <w:b/>
          <w:bCs/>
        </w:rPr>
        <w:t xml:space="preserve">Platform: </w:t>
      </w:r>
      <w:r>
        <w:t xml:space="preserve">Android only for now. iOS is intentionally deferred — not built into the initial architecture.</w:t>
      </w:r>
    </w:p>
    <w:p>
      <w:pPr>
        <w:pStyle w:val="ListParagraph"/>
        <w:numPr>
          <w:ilvl w:val="0"/>
          <w:numId w:val="2"/>
        </w:numPr>
        <w:spacing w:after="100"/>
      </w:pPr>
      <w:r>
        <w:rPr>
          <w:b/>
          <w:bCs/>
        </w:rPr>
        <w:t xml:space="preserve">Frontend: </w:t>
      </w:r>
      <w:r>
        <w:t xml:space="preserve">React Native with Expo (single codebase, matches existing team skillset). Expo's EAS Build service allows cloud builds without needing a Mac, useful if iOS is added later.</w:t>
      </w:r>
    </w:p>
    <w:p>
      <w:pPr>
        <w:pStyle w:val="ListParagraph"/>
        <w:numPr>
          <w:ilvl w:val="0"/>
          <w:numId w:val="2"/>
        </w:numPr>
        <w:spacing w:after="100"/>
      </w:pPr>
      <w:r>
        <w:rPr>
          <w:b/>
          <w:bCs/>
        </w:rPr>
        <w:t xml:space="preserve">Backend: </w:t>
      </w:r>
      <w:r>
        <w:t xml:space="preserve">Firebase — Auth (phone-based login), Firestore (shipments, roles, allocations), Cloud Functions (PIN generation &amp; server-side verification, business rules), Cloud Messaging (in-app push notifications).</w:t>
      </w:r>
    </w:p>
    <w:p>
      <w:pPr>
        <w:pStyle w:val="ListParagraph"/>
        <w:numPr>
          <w:ilvl w:val="0"/>
          <w:numId w:val="2"/>
        </w:numPr>
        <w:spacing w:after="100"/>
      </w:pPr>
      <w:r>
        <w:rPr>
          <w:b/>
          <w:bCs/>
        </w:rPr>
        <w:t xml:space="preserve">Notifications: </w:t>
      </w:r>
      <w:r>
        <w:t xml:space="preserve">Firebase Cloud Messaging (FCM) only. No SMS gateway — all notifications are in-app push, delivered when the device has connectivity.</w:t>
      </w:r>
    </w:p>
    <w:p>
      <w:pPr>
        <w:pStyle w:val="ListParagraph"/>
        <w:numPr>
          <w:ilvl w:val="0"/>
          <w:numId w:val="2"/>
        </w:numPr>
        <w:spacing w:after="80"/>
      </w:pPr>
      <w:r>
        <w:t xml:space="preserve">UI/UX: Icon-driven, simple interface prioritizing Telugu and Tamil, designed for low-literacy users.</w:t>
      </w:r>
    </w:p>
    <w:p>
      <w:pPr>
        <w:pStyle w:val="ListParagraph"/>
        <w:numPr>
          <w:ilvl w:val="0"/>
          <w:numId w:val="2"/>
        </w:numPr>
        <w:spacing w:after="80"/>
      </w:pPr>
      <w:r>
        <w:t xml:space="preserve">Access control: Firestore security rules enforce role-based visibility natively (e.g., each Shop Owner can only read their own allocation).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500"/>
        <w:gridCol w:w="5300"/>
      </w:tblGrid>
      <w:tr>
        <w:trPr>
          <w:tblHeader/>
        </w:trPr>
        <w:tc>
          <w:tcPr>
            <w:tcW w:type="dxa" w:w="4500"/>
            <w:shd w:fill="1B4332" w:val="clear"/>
            <w:tcMar>
              <w:top w:type="dxa" w:w="100"/>
              <w:left w:type="dxa" w:w="120"/>
              <w:bottom w:type="dxa" w:w="100"/>
              <w:right w:type="dxa" w:w="120"/>
            </w:tcMar>
          </w:tcPr>
          <w:p>
            <w:pPr>
              <w:jc w:val="left"/>
            </w:pPr>
            <w:r>
              <w:rPr>
                <w:b/>
                <w:bCs/>
                <w:color w:val="FFFFFF"/>
              </w:rPr>
              <w:t xml:space="preserve">Item</w:t>
            </w:r>
          </w:p>
        </w:tc>
        <w:tc>
          <w:tcPr>
            <w:tcW w:type="dxa" w:w="5300"/>
            <w:shd w:fill="1B4332" w:val="clear"/>
            <w:tcMar>
              <w:top w:type="dxa" w:w="100"/>
              <w:left w:type="dxa" w:w="120"/>
              <w:bottom w:type="dxa" w:w="100"/>
              <w:right w:type="dxa" w:w="120"/>
            </w:tcMar>
          </w:tcPr>
          <w:p>
            <w:pPr>
              <w:jc w:val="left"/>
            </w:pPr>
            <w:r>
              <w:rPr>
                <w:b/>
                <w:bCs/>
                <w:color w:val="FFFFFF"/>
              </w:rPr>
              <w:t xml:space="preserve">Cost</w:t>
            </w:r>
          </w:p>
        </w:tc>
      </w:tr>
      <w:tr>
        <w:tc>
          <w:tcPr>
            <w:tcW w:type="dxa" w:w="4500"/>
            <w:tcMar>
              <w:top w:type="dxa" w:w="100"/>
              <w:left w:type="dxa" w:w="120"/>
              <w:bottom w:type="dxa" w:w="100"/>
              <w:right w:type="dxa" w:w="120"/>
            </w:tcMar>
          </w:tcPr>
          <w:p>
            <w:pPr>
              <w:jc w:val="left"/>
            </w:pPr>
            <w:r>
              <w:rPr>
                <w:b w:val="false"/>
                <w:bCs w:val="false"/>
                <w:color w:val="000000"/>
              </w:rPr>
              <w:t xml:space="preserve">Firebase (Auth, Firestore, Functions, FCM)</w:t>
            </w:r>
          </w:p>
        </w:tc>
        <w:tc>
          <w:tcPr>
            <w:tcW w:type="dxa" w:w="5300"/>
            <w:tcMar>
              <w:top w:type="dxa" w:w="100"/>
              <w:left w:type="dxa" w:w="120"/>
              <w:bottom w:type="dxa" w:w="100"/>
              <w:right w:type="dxa" w:w="120"/>
            </w:tcMar>
          </w:tcPr>
          <w:p>
            <w:pPr>
              <w:jc w:val="left"/>
            </w:pPr>
            <w:r>
              <w:rPr>
                <w:b w:val="false"/>
                <w:bCs w:val="false"/>
                <w:color w:val="000000"/>
              </w:rPr>
              <w:t xml:space="preserve">Free on Spark plan for early-stage usage</w:t>
            </w:r>
          </w:p>
        </w:tc>
      </w:tr>
      <w:tr>
        <w:tc>
          <w:tcPr>
            <w:tcW w:type="dxa" w:w="4500"/>
            <w:shd w:fill="F1F8F4" w:val="clear"/>
            <w:tcMar>
              <w:top w:type="dxa" w:w="100"/>
              <w:left w:type="dxa" w:w="120"/>
              <w:bottom w:type="dxa" w:w="100"/>
              <w:right w:type="dxa" w:w="120"/>
            </w:tcMar>
          </w:tcPr>
          <w:p>
            <w:pPr>
              <w:jc w:val="left"/>
            </w:pPr>
            <w:r>
              <w:rPr>
                <w:b w:val="false"/>
                <w:bCs w:val="false"/>
                <w:color w:val="000000"/>
              </w:rPr>
              <w:t xml:space="preserve">Google Play Console</w:t>
            </w:r>
          </w:p>
        </w:tc>
        <w:tc>
          <w:tcPr>
            <w:tcW w:type="dxa" w:w="5300"/>
            <w:shd w:fill="F1F8F4" w:val="clear"/>
            <w:tcMar>
              <w:top w:type="dxa" w:w="100"/>
              <w:left w:type="dxa" w:w="120"/>
              <w:bottom w:type="dxa" w:w="100"/>
              <w:right w:type="dxa" w:w="120"/>
            </w:tcMar>
          </w:tcPr>
          <w:p>
            <w:pPr>
              <w:jc w:val="left"/>
            </w:pPr>
            <w:r>
              <w:rPr>
                <w:b w:val="false"/>
                <w:bCs w:val="false"/>
                <w:color w:val="000000"/>
              </w:rPr>
              <w:t xml:space="preserve">$25 one-time (~₹2,100)</w:t>
            </w:r>
          </w:p>
        </w:tc>
      </w:tr>
      <w:tr>
        <w:tc>
          <w:tcPr>
            <w:tcW w:type="dxa" w:w="4500"/>
            <w:tcMar>
              <w:top w:type="dxa" w:w="100"/>
              <w:left w:type="dxa" w:w="120"/>
              <w:bottom w:type="dxa" w:w="100"/>
              <w:right w:type="dxa" w:w="120"/>
            </w:tcMar>
          </w:tcPr>
          <w:p>
            <w:pPr>
              <w:jc w:val="left"/>
            </w:pPr>
            <w:r>
              <w:rPr>
                <w:b w:val="false"/>
                <w:bCs w:val="false"/>
                <w:color w:val="000000"/>
              </w:rPr>
              <w:t xml:space="preserve">Expo EAS Build (Android)</w:t>
            </w:r>
          </w:p>
        </w:tc>
        <w:tc>
          <w:tcPr>
            <w:tcW w:type="dxa" w:w="5300"/>
            <w:tcMar>
              <w:top w:type="dxa" w:w="100"/>
              <w:left w:type="dxa" w:w="120"/>
              <w:bottom w:type="dxa" w:w="100"/>
              <w:right w:type="dxa" w:w="120"/>
            </w:tcMar>
          </w:tcPr>
          <w:p>
            <w:pPr>
              <w:jc w:val="left"/>
            </w:pPr>
            <w:r>
              <w:rPr>
                <w:b w:val="false"/>
                <w:bCs w:val="false"/>
                <w:color w:val="000000"/>
              </w:rPr>
              <w:t xml:space="preserve">Free tier sufficient for MVP</w:t>
            </w:r>
          </w:p>
        </w:tc>
      </w:tr>
      <w:tr>
        <w:tc>
          <w:tcPr>
            <w:tcW w:type="dxa" w:w="4500"/>
            <w:shd w:fill="F1F8F4" w:val="clear"/>
            <w:tcMar>
              <w:top w:type="dxa" w:w="100"/>
              <w:left w:type="dxa" w:w="120"/>
              <w:bottom w:type="dxa" w:w="100"/>
              <w:right w:type="dxa" w:w="120"/>
            </w:tcMar>
          </w:tcPr>
          <w:p>
            <w:pPr>
              <w:jc w:val="left"/>
            </w:pPr>
            <w:r>
              <w:rPr>
                <w:b w:val="false"/>
                <w:bCs w:val="false"/>
                <w:color w:val="000000"/>
              </w:rPr>
              <w:t xml:space="preserve">Estimated total to launch</w:t>
            </w:r>
          </w:p>
        </w:tc>
        <w:tc>
          <w:tcPr>
            <w:tcW w:type="dxa" w:w="5300"/>
            <w:shd w:fill="F1F8F4" w:val="clear"/>
            <w:tcMar>
              <w:top w:type="dxa" w:w="100"/>
              <w:left w:type="dxa" w:w="120"/>
              <w:bottom w:type="dxa" w:w="100"/>
              <w:right w:type="dxa" w:w="120"/>
            </w:tcMar>
          </w:tcPr>
          <w:p>
            <w:pPr>
              <w:jc w:val="left"/>
            </w:pPr>
            <w:r>
              <w:rPr>
                <w:b w:val="false"/>
                <w:bCs w:val="false"/>
                <w:color w:val="000000"/>
              </w:rPr>
              <w:t xml:space="preserve">~₹2,000–2,500 one-time, then near-zero until real scale</w:t>
            </w:r>
          </w:p>
        </w:tc>
      </w:tr>
    </w:tbl>
    <w:p>
      <w:pPr>
        <w:pStyle w:val="ListParagraph"/>
        <w:numPr>
          <w:ilvl w:val="0"/>
          <w:numId w:val="2"/>
        </w:numPr>
        <w:spacing w:after="100"/>
      </w:pPr>
      <w:r>
        <w:rPr>
          <w:b/>
          <w:bCs/>
        </w:rPr>
        <w:t xml:space="preserve">Development Phasing: </w:t>
      </w:r>
      <w:r>
        <w:t xml:space="preserve">Phase 1 — Logistics Tracking (roles, requests, pickup entry); Phase 2 — Sangam &amp; Worker Management + PIN Mechanism; Phase 3 — Digital Payment Integration &amp; Discrepancy Workflows.</w:t>
      </w:r>
    </w:p>
    <w:p>
      <w:pPr>
        <w:pStyle w:val="Heading1"/>
        <w:spacing w:after="160" w:before="320"/>
      </w:pPr>
      <w:r>
        <w:rPr>
          <w:b/>
          <w:bCs/>
          <w:color w:val="1B4332"/>
        </w:rPr>
        <w:t xml:space="preserve">6. Pros, Risks &amp; Open Gaps</w:t>
      </w:r>
    </w:p>
    <w:p>
      <w:pPr>
        <w:pStyle w:val="Heading2"/>
        <w:spacing w:after="120" w:before="260"/>
      </w:pPr>
      <w:r>
        <w:rPr>
          <w:b/>
          <w:bCs/>
          <w:color w:val="2D6A4F"/>
        </w:rPr>
        <w:t xml:space="preserve">Pros</w:t>
      </w:r>
    </w:p>
    <w:p>
      <w:pPr>
        <w:pStyle w:val="ListParagraph"/>
        <w:numPr>
          <w:ilvl w:val="0"/>
          <w:numId w:val="2"/>
        </w:numPr>
        <w:spacing w:after="80"/>
      </w:pPr>
      <w:r>
        <w:t xml:space="preserve">Removes the biggest historical adoption blocker: farmer literacy/tech access, via Dispatch Coordinator proxy entry.</w:t>
      </w:r>
    </w:p>
    <w:p>
      <w:pPr>
        <w:pStyle w:val="ListParagraph"/>
        <w:numPr>
          <w:ilvl w:val="0"/>
          <w:numId w:val="2"/>
        </w:numPr>
        <w:spacing w:after="80"/>
      </w:pPr>
      <w:r>
        <w:t xml:space="preserve">Protects genuinely sensitive business data (shop-wise routing) from leakage or front-running via Sangam.</w:t>
      </w:r>
    </w:p>
    <w:p>
      <w:pPr>
        <w:pStyle w:val="ListParagraph"/>
        <w:numPr>
          <w:ilvl w:val="0"/>
          <w:numId w:val="2"/>
        </w:numPr>
        <w:spacing w:after="80"/>
      </w:pPr>
      <w:r>
        <w:t xml:space="preserve">Clean need-to-know visibility model — each role sees only what's relevant to them.</w:t>
      </w:r>
    </w:p>
    <w:p>
      <w:pPr>
        <w:pStyle w:val="ListParagraph"/>
        <w:numPr>
          <w:ilvl w:val="0"/>
          <w:numId w:val="2"/>
        </w:numPr>
        <w:spacing w:after="80"/>
      </w:pPr>
      <w:r>
        <w:t xml:space="preserve">Full price transparency to Farmer closes a major trust gap common in agri middleman chains.</w:t>
      </w:r>
    </w:p>
    <w:p>
      <w:pPr>
        <w:pStyle w:val="Heading2"/>
        <w:spacing w:after="120" w:before="260"/>
      </w:pPr>
      <w:r>
        <w:rPr>
          <w:b/>
          <w:bCs/>
          <w:color w:val="2D6A4F"/>
        </w:rPr>
        <w:t xml:space="preserve">Risks</w:t>
      </w:r>
    </w:p>
    <w:p>
      <w:pPr>
        <w:pStyle w:val="ListParagraph"/>
        <w:numPr>
          <w:ilvl w:val="0"/>
          <w:numId w:val="2"/>
        </w:numPr>
        <w:spacing w:after="100"/>
      </w:pPr>
      <w:r>
        <w:rPr>
          <w:b/>
          <w:bCs/>
        </w:rPr>
        <w:t xml:space="preserve">Driver as sole PIN-holder is softened but not eliminated: </w:t>
      </w:r>
      <w:r>
        <w:t xml:space="preserve">the Transport Owner holds the same PIN as a standing backup, so an unreachable Driver no longer blocks unloading — but both Driver and Transport Owner being unreachable simultaneously still stalls the process.</w:t>
      </w:r>
    </w:p>
    <w:p>
      <w:pPr>
        <w:pStyle w:val="ListParagraph"/>
        <w:numPr>
          <w:ilvl w:val="0"/>
          <w:numId w:val="2"/>
        </w:numPr>
        <w:spacing w:after="100"/>
      </w:pPr>
      <w:r>
        <w:rPr>
          <w:b/>
          <w:bCs/>
        </w:rPr>
        <w:t xml:space="preserve">Verbal PIN handoff has no digital audit trail: </w:t>
      </w:r>
      <w:r>
        <w:t xml:space="preserve">unlike an in-app reveal action, telling Sangam the PIN by voice leaves no record of exactly when or by whom it was shared — only the verification attempt (correct/incorrect, timestamp) is logged server-side.</w:t>
      </w:r>
    </w:p>
    <w:p>
      <w:pPr>
        <w:pStyle w:val="ListParagraph"/>
        <w:numPr>
          <w:ilvl w:val="0"/>
          <w:numId w:val="2"/>
        </w:numPr>
        <w:spacing w:after="100"/>
      </w:pPr>
      <w:r>
        <w:rPr>
          <w:b/>
          <w:bCs/>
        </w:rPr>
        <w:t xml:space="preserve">No confirmation from Farmer at pickup is an accepted tradeoff, not a solved gap: </w:t>
      </w:r>
      <w:r>
        <w:t xml:space="preserve">since the Farmer never actively confirms the box count/shop list the Driver enters (all notifications are one-way), a Driver could misreport quantities with no digital check at the point of entry. This design choice favors simplicity/speed over verification — worth monitoring once real usage data exists, and revisiting (e.g., an optional dispute button on the Farmer's notification) if misreporting turns out to be a real-world problem.</w:t>
      </w:r>
    </w:p>
    <w:p>
      <w:pPr>
        <w:pStyle w:val="ListParagraph"/>
        <w:numPr>
          <w:ilvl w:val="0"/>
          <w:numId w:val="2"/>
        </w:numPr>
        <w:spacing w:after="100"/>
      </w:pPr>
      <w:r>
        <w:rPr>
          <w:b/>
          <w:bCs/>
        </w:rPr>
        <w:t xml:space="preserve">No SMS fallback: </w:t>
      </w:r>
      <w:r>
        <w:t xml:space="preserve">notifications rely entirely on FCM push, which requires the app to have run at least once with connectivity. A Farmer or Driver with prolonged zero connectivity will miss notifications until back online — an accepted tradeoff given offline support is not a current priority.</w:t>
      </w:r>
    </w:p>
    <w:p>
      <w:pPr>
        <w:pStyle w:val="Heading2"/>
        <w:spacing w:after="120" w:before="260"/>
      </w:pPr>
      <w:r>
        <w:rPr>
          <w:b/>
          <w:bCs/>
          <w:color w:val="2D6A4F"/>
        </w:rPr>
        <w:t xml:space="preserve">Remaining Open Questions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300"/>
        <w:gridCol w:w="3500"/>
      </w:tblGrid>
      <w:tr>
        <w:trPr>
          <w:tblHeader/>
        </w:trPr>
        <w:tc>
          <w:tcPr>
            <w:tcW w:type="dxa" w:w="6300"/>
            <w:shd w:fill="1B4332" w:val="clear"/>
            <w:tcMar>
              <w:top w:type="dxa" w:w="100"/>
              <w:left w:type="dxa" w:w="120"/>
              <w:bottom w:type="dxa" w:w="100"/>
              <w:right w:type="dxa" w:w="120"/>
            </w:tcMar>
          </w:tcPr>
          <w:p>
            <w:pPr>
              <w:jc w:val="left"/>
            </w:pPr>
            <w:r>
              <w:rPr>
                <w:b/>
                <w:bCs/>
                <w:color w:val="FFFFFF"/>
              </w:rPr>
              <w:t xml:space="preserve">Gap</w:t>
            </w:r>
          </w:p>
        </w:tc>
        <w:tc>
          <w:tcPr>
            <w:tcW w:type="dxa" w:w="3500"/>
            <w:shd w:fill="1B4332" w:val="clear"/>
            <w:tcMar>
              <w:top w:type="dxa" w:w="100"/>
              <w:left w:type="dxa" w:w="120"/>
              <w:bottom w:type="dxa" w:w="100"/>
              <w:right w:type="dxa" w:w="120"/>
            </w:tcMar>
          </w:tcPr>
          <w:p>
            <w:pPr>
              <w:jc w:val="left"/>
            </w:pPr>
            <w:r>
              <w:rPr>
                <w:b/>
                <w:bCs/>
                <w:color w:val="FFFFFF"/>
              </w:rPr>
              <w:t xml:space="preserve">Status</w:t>
            </w:r>
          </w:p>
        </w:tc>
      </w:tr>
      <w:tr>
        <w:tc>
          <w:tcPr>
            <w:tcW w:type="dxa" w:w="6300"/>
            <w:tcMar>
              <w:top w:type="dxa" w:w="100"/>
              <w:left w:type="dxa" w:w="120"/>
              <w:bottom w:type="dxa" w:w="100"/>
              <w:right w:type="dxa" w:w="120"/>
            </w:tcMar>
          </w:tcPr>
          <w:p>
            <w:pPr>
              <w:jc w:val="left"/>
            </w:pPr>
            <w:r>
              <w:rPr>
                <w:b w:val="false"/>
                <w:bCs w:val="false"/>
                <w:color w:val="000000"/>
              </w:rPr>
              <w:t xml:space="preserve">Multi-shop, multi-price display to Farmer (itemized vs. aggregate)</w:t>
            </w:r>
          </w:p>
        </w:tc>
        <w:tc>
          <w:tcPr>
            <w:tcW w:type="dxa" w:w="3500"/>
            <w:tcMar>
              <w:top w:type="dxa" w:w="100"/>
              <w:left w:type="dxa" w:w="120"/>
              <w:bottom w:type="dxa" w:w="100"/>
              <w:right w:type="dxa" w:w="120"/>
            </w:tcMar>
          </w:tcPr>
          <w:p>
            <w:pPr>
              <w:jc w:val="left"/>
            </w:pPr>
            <w:r>
              <w:rPr>
                <w:b w:val="false"/>
                <w:bCs w:val="false"/>
                <w:color w:val="000000"/>
              </w:rPr>
              <w:t xml:space="preserve">To be decided</w:t>
            </w:r>
          </w:p>
        </w:tc>
      </w:tr>
      <w:tr>
        <w:tc>
          <w:tcPr>
            <w:tcW w:type="dxa" w:w="6300"/>
            <w:shd w:fill="F1F8F4" w:val="clear"/>
            <w:tcMar>
              <w:top w:type="dxa" w:w="100"/>
              <w:left w:type="dxa" w:w="120"/>
              <w:bottom w:type="dxa" w:w="100"/>
              <w:right w:type="dxa" w:w="120"/>
            </w:tcMar>
          </w:tcPr>
          <w:p>
            <w:pPr>
              <w:jc w:val="left"/>
            </w:pPr>
            <w:r>
              <w:rPr>
                <w:b w:val="false"/>
                <w:bCs w:val="false"/>
                <w:color w:val="000000"/>
              </w:rPr>
              <w:t xml:space="preserve">Dispute resolution SLA (how long before auto-escalation)</w:t>
            </w:r>
          </w:p>
        </w:tc>
        <w:tc>
          <w:tcPr>
            <w:tcW w:type="dxa" w:w="3500"/>
            <w:shd w:fill="F1F8F4" w:val="clear"/>
            <w:tcMar>
              <w:top w:type="dxa" w:w="100"/>
              <w:left w:type="dxa" w:w="120"/>
              <w:bottom w:type="dxa" w:w="100"/>
              <w:right w:type="dxa" w:w="120"/>
            </w:tcMar>
          </w:tcPr>
          <w:p>
            <w:pPr>
              <w:jc w:val="left"/>
            </w:pPr>
            <w:r>
              <w:rPr>
                <w:b w:val="false"/>
                <w:bCs w:val="false"/>
                <w:color w:val="000000"/>
              </w:rPr>
              <w:t xml:space="preserve">To be decided</w:t>
            </w:r>
          </w:p>
        </w:tc>
      </w:tr>
      <w:tr>
        <w:tc>
          <w:tcPr>
            <w:tcW w:type="dxa" w:w="6300"/>
            <w:tcMar>
              <w:top w:type="dxa" w:w="100"/>
              <w:left w:type="dxa" w:w="120"/>
              <w:bottom w:type="dxa" w:w="100"/>
              <w:right w:type="dxa" w:w="120"/>
            </w:tcMar>
          </w:tcPr>
          <w:p>
            <w:pPr>
              <w:jc w:val="left"/>
            </w:pPr>
            <w:r>
              <w:rPr>
                <w:b w:val="false"/>
                <w:bCs w:val="false"/>
                <w:color w:val="000000"/>
              </w:rPr>
              <w:t xml:space="preserve">Handling of consistently unreachable Drivers (repeat overrides)</w:t>
            </w:r>
          </w:p>
        </w:tc>
        <w:tc>
          <w:tcPr>
            <w:tcW w:type="dxa" w:w="3500"/>
            <w:tcMar>
              <w:top w:type="dxa" w:w="100"/>
              <w:left w:type="dxa" w:w="120"/>
              <w:bottom w:type="dxa" w:w="100"/>
              <w:right w:type="dxa" w:w="120"/>
            </w:tcMar>
          </w:tcPr>
          <w:p>
            <w:pPr>
              <w:jc w:val="left"/>
            </w:pPr>
            <w:r>
              <w:rPr>
                <w:b w:val="false"/>
                <w:bCs w:val="false"/>
                <w:color w:val="000000"/>
              </w:rPr>
              <w:t xml:space="preserve">To be decided</w:t>
            </w:r>
          </w:p>
        </w:tc>
      </w:tr>
      <w:tr>
        <w:tc>
          <w:tcPr>
            <w:tcW w:type="dxa" w:w="6300"/>
            <w:shd w:fill="F1F8F4" w:val="clear"/>
            <w:tcMar>
              <w:top w:type="dxa" w:w="100"/>
              <w:left w:type="dxa" w:w="120"/>
              <w:bottom w:type="dxa" w:w="100"/>
              <w:right w:type="dxa" w:w="120"/>
            </w:tcMar>
          </w:tcPr>
          <w:p>
            <w:pPr>
              <w:jc w:val="left"/>
            </w:pPr>
            <w:r>
              <w:rPr>
                <w:b w:val="false"/>
                <w:bCs w:val="false"/>
                <w:color w:val="000000"/>
              </w:rPr>
              <w:t xml:space="preserve">Payment sequencing: Badiga/Coolie fees vs. produce settlement timing</w:t>
            </w:r>
          </w:p>
        </w:tc>
        <w:tc>
          <w:tcPr>
            <w:tcW w:type="dxa" w:w="3500"/>
            <w:shd w:fill="F1F8F4" w:val="clear"/>
            <w:tcMar>
              <w:top w:type="dxa" w:w="100"/>
              <w:left w:type="dxa" w:w="120"/>
              <w:bottom w:type="dxa" w:w="100"/>
              <w:right w:type="dxa" w:w="120"/>
            </w:tcMar>
          </w:tcPr>
          <w:p>
            <w:pPr>
              <w:jc w:val="left"/>
            </w:pPr>
            <w:r>
              <w:rPr>
                <w:b w:val="false"/>
                <w:bCs w:val="false"/>
                <w:color w:val="000000"/>
              </w:rPr>
              <w:t xml:space="preserve">Resolved — see Section 6, Payment Settlement</w:t>
            </w:r>
          </w:p>
        </w:tc>
      </w:tr>
      <w:tr>
        <w:tc>
          <w:tcPr>
            <w:tcW w:type="dxa" w:w="6300"/>
            <w:tcMar>
              <w:top w:type="dxa" w:w="100"/>
              <w:left w:type="dxa" w:w="120"/>
              <w:bottom w:type="dxa" w:w="100"/>
              <w:right w:type="dxa" w:w="120"/>
            </w:tcMar>
          </w:tcPr>
          <w:p>
            <w:pPr>
              <w:jc w:val="left"/>
            </w:pPr>
            <w:r>
              <w:rPr>
                <w:b w:val="false"/>
                <w:bCs w:val="false"/>
                <w:color w:val="000000"/>
              </w:rPr>
              <w:t xml:space="preserve">No Farmer confirmation at pickup — accepted risk or needs a lightweight dispute option later?</w:t>
            </w:r>
          </w:p>
        </w:tc>
        <w:tc>
          <w:tcPr>
            <w:tcW w:type="dxa" w:w="3500"/>
            <w:tcMar>
              <w:top w:type="dxa" w:w="100"/>
              <w:left w:type="dxa" w:w="120"/>
              <w:bottom w:type="dxa" w:w="100"/>
              <w:right w:type="dxa" w:w="120"/>
            </w:tcMar>
          </w:tcPr>
          <w:p>
            <w:pPr>
              <w:jc w:val="left"/>
            </w:pPr>
            <w:r>
              <w:rPr>
                <w:b w:val="false"/>
                <w:bCs w:val="false"/>
                <w:color w:val="000000"/>
              </w:rPr>
              <w:t xml:space="preserve">Accepted for now, per Farmer's decision — revisit if needed</w:t>
            </w:r>
          </w:p>
        </w:tc>
      </w:tr>
    </w:tbl>
    <w:p>
      <w:pPr>
        <w:pStyle w:val="Heading2"/>
        <w:spacing w:after="120" w:before="260"/>
      </w:pPr>
      <w:r>
        <w:rPr>
          <w:b/>
          <w:bCs/>
          <w:color w:val="2D6A4F"/>
        </w:rPr>
        <w:t xml:space="preserve">Payment Settlement Timing (Resolved)</w:t>
      </w:r>
    </w:p>
    <w:p>
      <w:pPr>
        <w:pStyle w:val="ListParagraph"/>
        <w:numPr>
          <w:ilvl w:val="0"/>
          <w:numId w:val="2"/>
        </w:numPr>
        <w:spacing w:after="80"/>
      </w:pPr>
      <w:r>
        <w:t xml:space="preserve">Transport fee (Badiga): charged on delivery, regardless of sale outcome (service already rendered).</w:t>
      </w:r>
    </w:p>
    <w:p>
      <w:pPr>
        <w:pStyle w:val="ListParagraph"/>
        <w:numPr>
          <w:ilvl w:val="0"/>
          <w:numId w:val="2"/>
        </w:numPr>
        <w:spacing w:after="80"/>
      </w:pPr>
      <w:r>
        <w:t xml:space="preserve">Coolie/unloading fee: charged on unload completion, same logic.</w:t>
      </w:r>
    </w:p>
    <w:p>
      <w:pPr>
        <w:pStyle w:val="ListParagraph"/>
        <w:numPr>
          <w:ilvl w:val="0"/>
          <w:numId w:val="2"/>
        </w:numPr>
        <w:spacing w:after="80"/>
      </w:pPr>
      <w:r>
        <w:t xml:space="preserve">Produce payment to Farmer: tied to actual sale price, marked “pending settlement” until Shop Owner logs the sale — kept distinct so it's never confused with the fee payments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2026-07-01T11:29:45.355Z</dcterms:created>
  <dcterms:modified xsi:type="dcterms:W3CDTF">2026-07-01T11:29:45.373Z</dcterms:modified>
</cp:coreProperties>
</file>

<file path=docProps/custom.xml><?xml version="1.0" encoding="utf-8"?>
<Properties xmlns="http://schemas.openxmlformats.org/officeDocument/2006/custom-properties" xmlns:vt="http://schemas.openxmlformats.org/officeDocument/2006/docPropsVTypes"/>
</file>