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spacing w:after="80"/>
        <w:jc w:val="center"/>
      </w:pPr>
      <w:r>
        <w:rPr>
          <w:rFonts w:ascii="Calibri" w:cs="Calibri" w:eastAsia="Calibri" w:hAnsi="Calibri"/>
          <w:b/>
          <w:bCs/>
          <w:color w:val="1A2744"/>
          <w:sz w:val="64"/>
          <w:szCs w:val="64"/>
        </w:rPr>
        <w:t xml:space="preserve">WealthPro</w:t>
      </w:r>
    </w:p>
    <w:p>
      <w:pPr>
        <w:spacing w:after="40"/>
        <w:jc w:val="center"/>
      </w:pPr>
      <w:r>
        <w:rPr>
          <w:rFonts w:ascii="Calibri" w:cs="Calibri" w:eastAsia="Calibri" w:hAnsi="Calibri"/>
          <w:b/>
          <w:bCs/>
          <w:color w:val="D4A843"/>
          <w:spacing w:val="200"/>
          <w:sz w:val="36"/>
          <w:szCs w:val="36"/>
        </w:rPr>
        <w:t xml:space="preserve">BUG-A-THON</w:t>
      </w:r>
    </w:p>
    <w:p>
      <w:pPr>
        <w:pBdr>
          <w:bottom w:val="single" w:color="D4A843" w:sz="4" w:space="1"/>
        </w:pBdr>
        <w:spacing w:after="40"/>
        <w:jc w:val="center"/>
      </w:pPr>
      <w:r>
        <w:rPr>
          <w:sz w:val="4"/>
          <w:szCs w:val="4"/>
        </w:rPr>
        <w:t xml:space="preserve"> </w:t>
      </w:r>
    </w:p>
    <w:p>
      <w:pPr>
        <w:spacing w:after="60" w:before="200"/>
        <w:jc w:val="center"/>
      </w:pPr>
      <w:r>
        <w:rPr>
          <w:rFonts w:ascii="Calibri" w:cs="Calibri" w:eastAsia="Calibri" w:hAnsi="Calibri"/>
          <w:b/>
          <w:bCs/>
          <w:color w:val="C8102E"/>
          <w:spacing w:val="150"/>
          <w:sz w:val="28"/>
          <w:szCs w:val="28"/>
        </w:rPr>
        <w:t xml:space="preserve">ORGANIZER’S ANSWER KEY</w:t>
      </w:r>
    </w:p>
    <w:p>
      <w:pPr>
        <w:spacing w:before="200"/>
      </w:pPr>
    </w:p>
    <w:p>
      <w:pPr>
        <w:spacing w:after="60"/>
        <w:jc w:val="center"/>
      </w:pPr>
      <w:r>
        <w:rPr>
          <w:rFonts w:ascii="Calibri" w:cs="Calibri" w:eastAsia="Calibri" w:hAnsi="Calibri"/>
          <w:b/>
          <w:bCs/>
          <w:color w:val="C8102E"/>
          <w:sz w:val="22"/>
          <w:szCs w:val="22"/>
        </w:rPr>
        <w:t xml:space="preserve">CONFIDENTIAL</w:t>
      </w:r>
    </w:p>
    <w:p>
      <w:pPr>
        <w:spacing w:after="100"/>
        <w:jc w:val="center"/>
      </w:pPr>
      <w:r>
        <w:rPr>
          <w:rFonts w:ascii="Calibri" w:cs="Calibri" w:eastAsia="Calibri" w:hAnsi="Calibri"/>
          <w:color w:val="666666"/>
          <w:sz w:val="21"/>
          <w:szCs w:val="21"/>
        </w:rPr>
        <w:t xml:space="preserve">For event organizers and judges only. Do not distribute to participants.</w:t>
      </w:r>
    </w:p>
    <w:p>
      <w:pPr>
        <w:spacing w:before="200"/>
      </w:pPr>
    </w:p>
    <w:p>
      <w:pPr>
        <w:spacing w:after="40"/>
        <w:jc w:val="center"/>
      </w:pPr>
      <w:r>
        <w:rPr>
          <w:rFonts w:ascii="Calibri" w:cs="Calibri" w:eastAsia="Calibri" w:hAnsi="Calibri"/>
          <w:b/>
          <w:bCs/>
          <w:color w:val="1A2744"/>
          <w:sz w:val="22"/>
          <w:szCs w:val="22"/>
        </w:rPr>
        <w:t xml:space="preserve">18 Bugs  </w:t>
      </w:r>
      <w:r>
        <w:rPr>
          <w:rFonts w:ascii="Calibri" w:cs="Calibri" w:eastAsia="Calibri" w:hAnsi="Calibri"/>
          <w:color w:val="666666"/>
          <w:sz w:val="22"/>
          <w:szCs w:val="22"/>
        </w:rPr>
        <w:t xml:space="preserve">|  6 Critical  |  6 High  |  6 Low</w:t>
      </w:r>
    </w:p>
    <w:p>
      <w:pPr>
        <w:spacing w:after="40"/>
        <w:jc w:val="center"/>
      </w:pPr>
      <w:r>
        <w:rPr>
          <w:rFonts w:ascii="Calibri" w:cs="Calibri" w:eastAsia="Calibri" w:hAnsi="Calibri"/>
          <w:b/>
          <w:bCs/>
          <w:color w:val="1A2744"/>
          <w:sz w:val="22"/>
          <w:szCs w:val="22"/>
        </w:rPr>
        <w:t xml:space="preserve">Maximum Score: </w:t>
      </w:r>
      <w:r>
        <w:rPr>
          <w:rFonts w:ascii="Calibri" w:cs="Calibri" w:eastAsia="Calibri" w:hAnsi="Calibri"/>
          <w:color w:val="666666"/>
          <w:sz w:val="22"/>
          <w:szCs w:val="22"/>
        </w:rPr>
        <w:t xml:space="preserve">180 points</w:t>
      </w:r>
    </w:p>
    <w:p>
      <w:pPr>
        <w:spacing w:before="400"/>
      </w:pPr>
    </w:p>
    <w:p>
      <w:pPr>
        <w:jc w:val="center"/>
      </w:pPr>
      <w:r>
        <w:rPr>
          <w:rFonts w:ascii="Calibri" w:cs="Calibri" w:eastAsia="Calibri" w:hAnsi="Calibri"/>
          <w:color w:val="999999"/>
          <w:sz w:val="20"/>
          <w:szCs w:val="20"/>
        </w:rPr>
        <w:t xml:space="preserve">Prepared by CATS Team — UAT Center of Excellence</w:t>
      </w:r>
    </w:p>
    <w:p>
      <w:r>
        <w:br w:type="page"/>
      </w:r>
    </w:p>
    <w:p>
      <w:pPr>
        <w:pStyle w:val="Heading1"/>
      </w:pPr>
      <w:r>
        <w:t xml:space="preserve">Scoring Guidelines</w:t>
      </w:r>
    </w:p>
    <w:p>
      <w:pPr>
        <w:spacing w:after="140" w:before="0"/>
      </w:pPr>
      <w:r>
        <w:rPr>
          <w:rFonts w:ascii="Calibri" w:cs="Calibri" w:eastAsia="Calibri" w:hAnsi="Calibri"/>
          <w:b w:val="false"/>
          <w:bCs w:val="false"/>
          <w:i w:val="false"/>
          <w:iCs w:val="false"/>
          <w:color w:val="333333"/>
          <w:sz w:val="22"/>
          <w:szCs w:val="22"/>
        </w:rPr>
        <w:t xml:space="preserve">Award points based on the severity of each bug found. Participants earn full points when they correctly identify the bug AND classify its severity. Misclassified severity earns partial credit (50% of the correct severity’s points).</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4560"/>
      </w:tblGrid>
      <w:tr>
        <w:tc>
          <w:tcPr>
            <w:tcW w:type="dxa" w:w="24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Calibri" w:cs="Calibri" w:eastAsia="Calibri" w:hAnsi="Calibri"/>
                <w:b/>
                <w:bCs/>
                <w:color w:val="FFFFFF"/>
                <w:sz w:val="20"/>
                <w:szCs w:val="20"/>
              </w:rPr>
              <w:t xml:space="preserve">Severity</w:t>
            </w:r>
          </w:p>
        </w:tc>
        <w:tc>
          <w:tcPr>
            <w:tcW w:type="dxa" w:w="12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Calibri" w:cs="Calibri" w:eastAsia="Calibri" w:hAnsi="Calibri"/>
                <w:b/>
                <w:bCs/>
                <w:color w:val="FFFFFF"/>
                <w:sz w:val="20"/>
                <w:szCs w:val="20"/>
              </w:rPr>
              <w:t xml:space="preserve">Points</w:t>
            </w:r>
          </w:p>
        </w:tc>
        <w:tc>
          <w:tcPr>
            <w:tcW w:type="dxa" w:w="12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Calibri" w:cs="Calibri" w:eastAsia="Calibri" w:hAnsi="Calibri"/>
                <w:b/>
                <w:bCs/>
                <w:color w:val="FFFFFF"/>
                <w:sz w:val="20"/>
                <w:szCs w:val="20"/>
              </w:rPr>
              <w:t xml:space="preserve">Count</w:t>
            </w:r>
          </w:p>
        </w:tc>
        <w:tc>
          <w:tcPr>
            <w:tcW w:type="dxa" w:w="456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Calibri" w:cs="Calibri" w:eastAsia="Calibri" w:hAnsi="Calibri"/>
                <w:b/>
                <w:bCs/>
                <w:color w:val="FFFFFF"/>
                <w:sz w:val="20"/>
                <w:szCs w:val="20"/>
              </w:rPr>
              <w:t xml:space="preserve">Subtotal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C8102E"/>
                <w:sz w:val="20"/>
                <w:szCs w:val="20"/>
              </w:rPr>
              <w:t xml:space="preserve">🔴  Critical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b w:val="false"/>
                <w:bCs w:val="false"/>
                <w:color w:val="333333"/>
                <w:sz w:val="20"/>
                <w:szCs w:val="20"/>
              </w:rPr>
              <w:t xml:space="preserve">15 pts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b w:val="false"/>
                <w:bCs w:val="false"/>
                <w:color w:val="333333"/>
                <w:sz w:val="20"/>
                <w:szCs w:val="20"/>
              </w:rPr>
              <w:t xml:space="preserve">6</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333333"/>
                <w:sz w:val="20"/>
                <w:szCs w:val="20"/>
              </w:rPr>
              <w:t xml:space="preserve">90 points</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bCs/>
                <w:color w:val="B87A00"/>
                <w:sz w:val="20"/>
                <w:szCs w:val="20"/>
              </w:rPr>
              <w:t xml:space="preserve">🟠  High</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Calibri" w:cs="Calibri" w:eastAsia="Calibri" w:hAnsi="Calibri"/>
                <w:b w:val="false"/>
                <w:bCs w:val="false"/>
                <w:color w:val="333333"/>
                <w:sz w:val="20"/>
                <w:szCs w:val="20"/>
              </w:rPr>
              <w:t xml:space="preserve">10 pts</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Calibri" w:cs="Calibri" w:eastAsia="Calibri" w:hAnsi="Calibri"/>
                <w:b w:val="false"/>
                <w:bCs w:val="false"/>
                <w:color w:val="333333"/>
                <w:sz w:val="20"/>
                <w:szCs w:val="20"/>
              </w:rPr>
              <w:t xml:space="preserve">6</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bCs/>
                <w:color w:val="333333"/>
                <w:sz w:val="20"/>
                <w:szCs w:val="20"/>
              </w:rPr>
              <w:t xml:space="preserve">60 points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2E7D32"/>
                <w:sz w:val="20"/>
                <w:szCs w:val="20"/>
              </w:rPr>
              <w:t xml:space="preserve">🟢  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b w:val="false"/>
                <w:bCs w:val="false"/>
                <w:color w:val="333333"/>
                <w:sz w:val="20"/>
                <w:szCs w:val="20"/>
              </w:rPr>
              <w:t xml:space="preserve">5 pts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b w:val="false"/>
                <w:bCs w:val="false"/>
                <w:color w:val="333333"/>
                <w:sz w:val="20"/>
                <w:szCs w:val="20"/>
              </w:rPr>
              <w:t xml:space="preserve">6</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333333"/>
                <w:sz w:val="20"/>
                <w:szCs w:val="20"/>
              </w:rPr>
              <w:t xml:space="preserve">30 points</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Calibri" w:cs="Calibri" w:eastAsia="Calibri" w:hAnsi="Calibri"/>
                <w:b/>
                <w:bCs/>
                <w:color w:val="333333"/>
                <w:sz w:val="20"/>
                <w:szCs w:val="20"/>
              </w:rPr>
              <w:t xml:space="preserve">TOTAL</w:t>
            </w:r>
          </w:p>
        </w:tc>
        <w:tc>
          <w:tcPr>
            <w:tcW w:type="dxa" w:w="1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
            </w:r>
          </w:p>
        </w:tc>
        <w:tc>
          <w:tcPr>
            <w:tcW w:type="dxa" w:w="1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jc w:val="center"/>
            </w:pPr>
            <w:r>
              <w:rPr>
                <w:rFonts w:ascii="Calibri" w:cs="Calibri" w:eastAsia="Calibri" w:hAnsi="Calibri"/>
                <w:b/>
                <w:bCs/>
                <w:color w:val="333333"/>
                <w:sz w:val="20"/>
                <w:szCs w:val="20"/>
              </w:rPr>
              <w:t xml:space="preserve">18</w:t>
            </w:r>
          </w:p>
        </w:tc>
        <w:tc>
          <w:tcPr>
            <w:tcW w:type="dxa" w:w="45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Calibri" w:cs="Calibri" w:eastAsia="Calibri" w:hAnsi="Calibri"/>
                <w:b/>
                <w:bCs/>
                <w:color w:val="333333"/>
                <w:sz w:val="20"/>
                <w:szCs w:val="20"/>
              </w:rPr>
              <w:t xml:space="preserve">180 points</w:t>
            </w:r>
          </w:p>
        </w:tc>
      </w:tr>
    </w:tbl>
    <w:p>
      <w:pPr>
        <w:spacing w:before="120"/>
      </w:pPr>
    </w:p>
    <w:p>
      <w:pPr>
        <w:spacing w:after="140" w:before="0"/>
      </w:pPr>
      <w:r>
        <w:rPr>
          <w:rFonts w:ascii="Calibri" w:cs="Calibri" w:eastAsia="Calibri" w:hAnsi="Calibri"/>
          <w:b/>
          <w:bCs/>
          <w:color w:val="1A2744"/>
          <w:sz w:val="22"/>
          <w:szCs w:val="22"/>
        </w:rPr>
        <w:t xml:space="preserve">Bonus Points: </w:t>
      </w:r>
      <w:r>
        <w:rPr>
          <w:rFonts w:ascii="Calibri" w:cs="Calibri" w:eastAsia="Calibri" w:hAnsi="Calibri"/>
          <w:color w:val="333333"/>
          <w:sz w:val="22"/>
          <w:szCs w:val="22"/>
        </w:rPr>
        <w:t xml:space="preserve">Award +5 bonus points when a participant provides a clear business impact explanation alongside the bug report (e.g., explaining regulatory risk, financial loss, or customer trust implications).</w:t>
      </w:r>
    </w:p>
    <w:p>
      <w:r>
        <w:br w:type="page"/>
      </w:r>
    </w:p>
    <w:p>
      <w:pPr>
        <w:pStyle w:val="Heading1"/>
      </w:pPr>
      <w:r>
        <w:t xml:space="preserve">🔴  Critical Bugs</w:t>
      </w:r>
    </w:p>
    <w:p>
      <w:pPr>
        <w:spacing w:after="140" w:before="0"/>
      </w:pPr>
      <w:r>
        <w:rPr>
          <w:rFonts w:ascii="Calibri" w:cs="Calibri" w:eastAsia="Calibri" w:hAnsi="Calibri"/>
          <w:b w:val="false"/>
          <w:bCs w:val="false"/>
          <w:i w:val="false"/>
          <w:iCs w:val="false"/>
          <w:color w:val="333333"/>
          <w:sz w:val="22"/>
          <w:szCs w:val="22"/>
        </w:rPr>
        <w:t xml:space="preserve">Critical bugs cause financial loss, security breaches, data corruption, or regulatory violations. These are the highest-value finds.</w:t>
      </w:r>
    </w:p>
    <w:p>
      <w:pPr>
        <w:pBdr>
          <w:bottom w:val="single" w:color="C8102E" w:sz="8" w:space="1"/>
        </w:pBdr>
        <w:spacing w:after="200" w:before="6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102E" w:sz="6"/>
              <w:left w:val="none" w:color="FFFFFF" w:sz="0"/>
              <w:bottom w:val="none" w:color="FFFFFF" w:sz="0"/>
              <w:right w:val="none" w:color="FFFFFF" w:sz="0"/>
            </w:tcBorders>
            <w:shd w:fill="FEF5F7" w:val="clear"/>
            <w:tcMar>
              <w:top w:type="dxa" w:w="120"/>
              <w:left w:type="dxa" w:w="160"/>
              <w:bottom w:type="dxa" w:w="40"/>
              <w:right w:type="dxa" w:w="160"/>
            </w:tcMar>
          </w:tcPr>
          <w:p>
            <w:pPr>
              <w:spacing w:after="60"/>
            </w:pPr>
            <w:r>
              <w:rPr>
                <w:rFonts w:ascii="Calibri" w:cs="Calibri" w:eastAsia="Calibri" w:hAnsi="Calibri"/>
                <w:b/>
                <w:bCs/>
                <w:color w:val="C8102E"/>
                <w:sz w:val="24"/>
                <w:szCs w:val="24"/>
              </w:rPr>
              <w:t xml:space="preserve">BUG-C1</w:t>
            </w:r>
            <w:r>
              <w:rPr>
                <w:rFonts w:ascii="Calibri" w:cs="Calibri" w:eastAsia="Calibri" w:hAnsi="Calibri"/>
                <w:color w:val="999999"/>
                <w:sz w:val="20"/>
                <w:szCs w:val="20"/>
              </w:rPr>
              <w:t xml:space="preserve">  |  </w:t>
            </w:r>
            <w:r>
              <w:rPr>
                <w:rFonts w:ascii="Calibri" w:cs="Calibri" w:eastAsia="Calibri" w:hAnsi="Calibri"/>
                <w:b/>
                <w:bCs/>
                <w:color w:val="C8102E"/>
                <w:sz w:val="18"/>
                <w:szCs w:val="18"/>
              </w:rPr>
              <w:t xml:space="preserve">CRITICAL</w:t>
            </w:r>
            <w:r>
              <w:rPr>
                <w:rFonts w:ascii="Calibri" w:cs="Calibri" w:eastAsia="Calibri" w:hAnsi="Calibri"/>
                <w:color w:val="999999"/>
                <w:sz w:val="20"/>
                <w:szCs w:val="20"/>
              </w:rPr>
              <w:t xml:space="preserve">  |  </w:t>
            </w:r>
            <w:r>
              <w:rPr>
                <w:rFonts w:ascii="Calibri" w:cs="Calibri" w:eastAsia="Calibri" w:hAnsi="Calibri"/>
                <w:color w:val="666666"/>
                <w:sz w:val="20"/>
                <w:szCs w:val="20"/>
              </w:rPr>
              <w:t xml:space="preserve">Page: </w:t>
            </w:r>
            <w:r>
              <w:rPr>
                <w:rFonts w:ascii="Calibri" w:cs="Calibri" w:eastAsia="Calibri" w:hAnsi="Calibri"/>
                <w:b/>
                <w:bCs/>
                <w:color w:val="333333"/>
                <w:sz w:val="20"/>
                <w:szCs w:val="20"/>
              </w:rPr>
              <w:t xml:space="preserve">Fund Transfer</w:t>
            </w:r>
          </w:p>
          <w:p>
            <w:pPr>
              <w:spacing w:after="100"/>
            </w:pPr>
            <w:r>
              <w:rPr>
                <w:rFonts w:ascii="Calibri" w:cs="Calibri" w:eastAsia="Calibri" w:hAnsi="Calibri"/>
                <w:b/>
                <w:bCs/>
                <w:color w:val="1A2744"/>
                <w:sz w:val="26"/>
                <w:szCs w:val="26"/>
              </w:rPr>
              <w:t xml:space="preserve">Negative Transfer Amount Accepted</w:t>
            </w:r>
          </w:p>
        </w:tc>
      </w:tr>
      <w:tr>
        <w:tc>
          <w:tcPr>
            <w:tcW w:type="dxa" w:w="9360"/>
            <w:tcBorders>
              <w:top w:val="none" w:color="FFFFFF" w:sz="0"/>
              <w:left w:val="none" w:color="FFFFFF" w:sz="0"/>
              <w:bottom w:val="none" w:color="FFFFFF" w:sz="0"/>
              <w:right w:val="none" w:color="FFFFFF" w:sz="0"/>
            </w:tcBorders>
            <w:shd w:fill="FEF5F7" w:val="clear"/>
            <w:tcMar>
              <w:top w:type="dxa" w:w="40"/>
              <w:left w:type="dxa" w:w="160"/>
              <w:bottom w:type="dxa" w:w="40"/>
              <w:right w:type="dxa" w:w="160"/>
            </w:tcMar>
          </w:tcPr>
          <w:p>
            <w:pPr>
              <w:spacing w:after="40"/>
            </w:pPr>
            <w:r>
              <w:rPr>
                <w:rFonts w:ascii="Calibri" w:cs="Calibri" w:eastAsia="Calibri" w:hAnsi="Calibri"/>
                <w:b/>
                <w:bCs/>
                <w:color w:val="1A2744"/>
                <w:sz w:val="20"/>
                <w:szCs w:val="20"/>
              </w:rPr>
              <w:t xml:space="preserve">Steps to Reproduce:</w:t>
            </w:r>
          </w:p>
          <w:p>
            <w:pPr>
              <w:spacing w:after="80"/>
            </w:pPr>
            <w:r>
              <w:rPr>
                <w:rFonts w:ascii="Calibri" w:cs="Calibri" w:eastAsia="Calibri" w:hAnsi="Calibri"/>
                <w:color w:val="444444"/>
                <w:sz w:val="21"/>
                <w:szCs w:val="21"/>
              </w:rPr>
              <w:t xml:space="preserve">1. Navigate to Fund Transfer page.
2. Select any Source and Destination account.
3. Enter a negative value in the Transfer Amount field (e.g., -5000).
4. Click "Submit Transfer."</w:t>
            </w:r>
          </w:p>
        </w:tc>
      </w:tr>
      <w:tr>
        <w:tc>
          <w:tcPr>
            <w:tcW w:type="dxa" w:w="9360"/>
            <w:tcBorders>
              <w:top w:val="none" w:color="FFFFFF" w:sz="0"/>
              <w:left w:val="none" w:color="FFFFFF" w:sz="0"/>
              <w:bottom w:val="none" w:color="FFFFFF" w:sz="0"/>
              <w:right w:val="none" w:color="FFFFFF" w:sz="0"/>
            </w:tcBorders>
            <w:shd w:fill="FEF5F7" w:val="clear"/>
            <w:tcMar>
              <w:top w:type="dxa" w:w="40"/>
              <w:left w:type="dxa" w:w="160"/>
              <w:bottom w:type="dxa" w:w="40"/>
              <w:right w:type="dxa" w:w="160"/>
            </w:tcMar>
          </w:tcPr>
          <w:p>
            <w:pPr>
              <w:spacing w:after="40"/>
            </w:pPr>
            <w:r>
              <w:rPr>
                <w:rFonts w:ascii="Calibri" w:cs="Calibri" w:eastAsia="Calibri" w:hAnsi="Calibri"/>
                <w:b/>
                <w:bCs/>
                <w:color w:val="1B8A5A"/>
                <w:sz w:val="20"/>
                <w:szCs w:val="20"/>
              </w:rPr>
              <w:t xml:space="preserve">Expected Behavior:</w:t>
            </w:r>
          </w:p>
          <w:p>
            <w:pPr>
              <w:spacing w:after="80"/>
            </w:pPr>
            <w:r>
              <w:rPr>
                <w:rFonts w:ascii="Calibri" w:cs="Calibri" w:eastAsia="Calibri" w:hAnsi="Calibri"/>
                <w:color w:val="444444"/>
                <w:sz w:val="21"/>
                <w:szCs w:val="21"/>
              </w:rPr>
              <w:t xml:space="preserve">The system should reject negative amounts with a validation error message such as "Transfer amount must be greater than zero."</w:t>
            </w:r>
          </w:p>
          <w:p>
            <w:pPr>
              <w:spacing w:after="40"/>
            </w:pPr>
            <w:r>
              <w:rPr>
                <w:rFonts w:ascii="Calibri" w:cs="Calibri" w:eastAsia="Calibri" w:hAnsi="Calibri"/>
                <w:b/>
                <w:bCs/>
                <w:color w:val="C8102E"/>
                <w:sz w:val="20"/>
                <w:szCs w:val="20"/>
              </w:rPr>
              <w:t xml:space="preserve">Actual Behavior:</w:t>
            </w:r>
          </w:p>
          <w:p>
            <w:pPr>
              <w:spacing w:after="80"/>
            </w:pPr>
            <w:r>
              <w:rPr>
                <w:rFonts w:ascii="Calibri" w:cs="Calibri" w:eastAsia="Calibri" w:hAnsi="Calibri"/>
                <w:color w:val="444444"/>
                <w:sz w:val="21"/>
                <w:szCs w:val="21"/>
              </w:rPr>
              <w:t xml:space="preserve">The system accepts the negative amount and displays a success confirmation modal showing the transfer was submitted. No validation error is shown.</w:t>
            </w:r>
          </w:p>
        </w:tc>
      </w:tr>
      <w:tr>
        <w:tc>
          <w:tcPr>
            <w:tcW w:type="dxa" w:w="9360"/>
            <w:tcBorders>
              <w:top w:val="none" w:color="FFFFFF" w:sz="0"/>
              <w:left w:val="none" w:color="FFFFFF" w:sz="0"/>
              <w:bottom w:val="single" w:color="DDDDDD" w:sz="1"/>
              <w:right w:val="none" w:color="FFFFFF" w:sz="0"/>
            </w:tcBorders>
            <w:shd w:fill="FEF5F7" w:val="clear"/>
            <w:tcMar>
              <w:top w:type="dxa" w:w="40"/>
              <w:left w:type="dxa" w:w="160"/>
              <w:bottom w:type="dxa" w:w="120"/>
              <w:right w:type="dxa" w:w="160"/>
            </w:tcMar>
          </w:tcPr>
          <w:p>
            <w:pPr>
              <w:spacing w:after="40"/>
            </w:pPr>
            <w:r>
              <w:rPr>
                <w:rFonts w:ascii="Calibri" w:cs="Calibri" w:eastAsia="Calibri" w:hAnsi="Calibri"/>
                <w:b/>
                <w:bCs/>
                <w:color w:val="7B5B00"/>
                <w:sz w:val="20"/>
                <w:szCs w:val="20"/>
              </w:rPr>
              <w:t xml:space="preserve">Business Impact:</w:t>
            </w:r>
          </w:p>
          <w:p>
            <w:pPr>
              <w:spacing w:after="0"/>
            </w:pPr>
            <w:r>
              <w:rPr>
                <w:rFonts w:ascii="Calibri" w:cs="Calibri" w:eastAsia="Calibri" w:hAnsi="Calibri"/>
                <w:i/>
                <w:iCs/>
                <w:color w:val="444444"/>
                <w:sz w:val="21"/>
                <w:szCs w:val="21"/>
              </w:rPr>
              <w:t xml:space="preserve">A negative transfer reverses the direction of money flow — effectively pulling funds FROM the destination INTO the source. This could be exploited for unauthorized fund movement. Every banking system must validate that transfer amounts are positive.</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102E" w:sz="6"/>
              <w:left w:val="none" w:color="FFFFFF" w:sz="0"/>
              <w:bottom w:val="none" w:color="FFFFFF" w:sz="0"/>
              <w:right w:val="none" w:color="FFFFFF" w:sz="0"/>
            </w:tcBorders>
            <w:shd w:fill="FEF5F7" w:val="clear"/>
            <w:tcMar>
              <w:top w:type="dxa" w:w="120"/>
              <w:left w:type="dxa" w:w="160"/>
              <w:bottom w:type="dxa" w:w="40"/>
              <w:right w:type="dxa" w:w="160"/>
            </w:tcMar>
          </w:tcPr>
          <w:p>
            <w:pPr>
              <w:spacing w:after="60"/>
            </w:pPr>
            <w:r>
              <w:rPr>
                <w:rFonts w:ascii="Calibri" w:cs="Calibri" w:eastAsia="Calibri" w:hAnsi="Calibri"/>
                <w:b/>
                <w:bCs/>
                <w:color w:val="C8102E"/>
                <w:sz w:val="24"/>
                <w:szCs w:val="24"/>
              </w:rPr>
              <w:t xml:space="preserve">BUG-C2</w:t>
            </w:r>
            <w:r>
              <w:rPr>
                <w:rFonts w:ascii="Calibri" w:cs="Calibri" w:eastAsia="Calibri" w:hAnsi="Calibri"/>
                <w:color w:val="999999"/>
                <w:sz w:val="20"/>
                <w:szCs w:val="20"/>
              </w:rPr>
              <w:t xml:space="preserve">  |  </w:t>
            </w:r>
            <w:r>
              <w:rPr>
                <w:rFonts w:ascii="Calibri" w:cs="Calibri" w:eastAsia="Calibri" w:hAnsi="Calibri"/>
                <w:b/>
                <w:bCs/>
                <w:color w:val="C8102E"/>
                <w:sz w:val="18"/>
                <w:szCs w:val="18"/>
              </w:rPr>
              <w:t xml:space="preserve">CRITICAL</w:t>
            </w:r>
            <w:r>
              <w:rPr>
                <w:rFonts w:ascii="Calibri" w:cs="Calibri" w:eastAsia="Calibri" w:hAnsi="Calibri"/>
                <w:color w:val="999999"/>
                <w:sz w:val="20"/>
                <w:szCs w:val="20"/>
              </w:rPr>
              <w:t xml:space="preserve">  |  </w:t>
            </w:r>
            <w:r>
              <w:rPr>
                <w:rFonts w:ascii="Calibri" w:cs="Calibri" w:eastAsia="Calibri" w:hAnsi="Calibri"/>
                <w:color w:val="666666"/>
                <w:sz w:val="20"/>
                <w:szCs w:val="20"/>
              </w:rPr>
              <w:t xml:space="preserve">Page: </w:t>
            </w:r>
            <w:r>
              <w:rPr>
                <w:rFonts w:ascii="Calibri" w:cs="Calibri" w:eastAsia="Calibri" w:hAnsi="Calibri"/>
                <w:b/>
                <w:bCs/>
                <w:color w:val="333333"/>
                <w:sz w:val="20"/>
                <w:szCs w:val="20"/>
              </w:rPr>
              <w:t xml:space="preserve">Fund Transfer</w:t>
            </w:r>
          </w:p>
          <w:p>
            <w:pPr>
              <w:spacing w:after="100"/>
            </w:pPr>
            <w:r>
              <w:rPr>
                <w:rFonts w:ascii="Calibri" w:cs="Calibri" w:eastAsia="Calibri" w:hAnsi="Calibri"/>
                <w:b/>
                <w:bCs/>
                <w:color w:val="1A2744"/>
                <w:sz w:val="26"/>
                <w:szCs w:val="26"/>
              </w:rPr>
              <w:t xml:space="preserve">Transfer Exceeds Account Balance</w:t>
            </w:r>
          </w:p>
        </w:tc>
      </w:tr>
      <w:tr>
        <w:tc>
          <w:tcPr>
            <w:tcW w:type="dxa" w:w="9360"/>
            <w:tcBorders>
              <w:top w:val="none" w:color="FFFFFF" w:sz="0"/>
              <w:left w:val="none" w:color="FFFFFF" w:sz="0"/>
              <w:bottom w:val="none" w:color="FFFFFF" w:sz="0"/>
              <w:right w:val="none" w:color="FFFFFF" w:sz="0"/>
            </w:tcBorders>
            <w:shd w:fill="FEF5F7" w:val="clear"/>
            <w:tcMar>
              <w:top w:type="dxa" w:w="40"/>
              <w:left w:type="dxa" w:w="160"/>
              <w:bottom w:type="dxa" w:w="40"/>
              <w:right w:type="dxa" w:w="160"/>
            </w:tcMar>
          </w:tcPr>
          <w:p>
            <w:pPr>
              <w:spacing w:after="40"/>
            </w:pPr>
            <w:r>
              <w:rPr>
                <w:rFonts w:ascii="Calibri" w:cs="Calibri" w:eastAsia="Calibri" w:hAnsi="Calibri"/>
                <w:b/>
                <w:bCs/>
                <w:color w:val="1A2744"/>
                <w:sz w:val="20"/>
                <w:szCs w:val="20"/>
              </w:rPr>
              <w:t xml:space="preserve">Steps to Reproduce:</w:t>
            </w:r>
          </w:p>
          <w:p>
            <w:pPr>
              <w:spacing w:after="80"/>
            </w:pPr>
            <w:r>
              <w:rPr>
                <w:rFonts w:ascii="Calibri" w:cs="Calibri" w:eastAsia="Calibri" w:hAnsi="Calibri"/>
                <w:color w:val="444444"/>
                <w:sz w:val="21"/>
                <w:szCs w:val="21"/>
              </w:rPr>
              <w:t xml:space="preserve">1. Navigate to Fund Transfer page.
2. Select "Savings — ****6628 ($284,500.00)" as Source Account.
3. Enter $600,000 in the Transfer Amount field.
4. Click "Submit Transfer."</w:t>
            </w:r>
          </w:p>
        </w:tc>
      </w:tr>
      <w:tr>
        <w:tc>
          <w:tcPr>
            <w:tcW w:type="dxa" w:w="9360"/>
            <w:tcBorders>
              <w:top w:val="none" w:color="FFFFFF" w:sz="0"/>
              <w:left w:val="none" w:color="FFFFFF" w:sz="0"/>
              <w:bottom w:val="none" w:color="FFFFFF" w:sz="0"/>
              <w:right w:val="none" w:color="FFFFFF" w:sz="0"/>
            </w:tcBorders>
            <w:shd w:fill="FEF5F7" w:val="clear"/>
            <w:tcMar>
              <w:top w:type="dxa" w:w="40"/>
              <w:left w:type="dxa" w:w="160"/>
              <w:bottom w:type="dxa" w:w="40"/>
              <w:right w:type="dxa" w:w="160"/>
            </w:tcMar>
          </w:tcPr>
          <w:p>
            <w:pPr>
              <w:spacing w:after="40"/>
            </w:pPr>
            <w:r>
              <w:rPr>
                <w:rFonts w:ascii="Calibri" w:cs="Calibri" w:eastAsia="Calibri" w:hAnsi="Calibri"/>
                <w:b/>
                <w:bCs/>
                <w:color w:val="1B8A5A"/>
                <w:sz w:val="20"/>
                <w:szCs w:val="20"/>
              </w:rPr>
              <w:t xml:space="preserve">Expected Behavior:</w:t>
            </w:r>
          </w:p>
          <w:p>
            <w:pPr>
              <w:spacing w:after="80"/>
            </w:pPr>
            <w:r>
              <w:rPr>
                <w:rFonts w:ascii="Calibri" w:cs="Calibri" w:eastAsia="Calibri" w:hAnsi="Calibri"/>
                <w:color w:val="444444"/>
                <w:sz w:val="21"/>
                <w:szCs w:val="21"/>
              </w:rPr>
              <w:t xml:space="preserve">The system should reject the transfer with an error: "Insufficient funds. Available balance is $284,500.00."</w:t>
            </w:r>
          </w:p>
          <w:p>
            <w:pPr>
              <w:spacing w:after="40"/>
            </w:pPr>
            <w:r>
              <w:rPr>
                <w:rFonts w:ascii="Calibri" w:cs="Calibri" w:eastAsia="Calibri" w:hAnsi="Calibri"/>
                <w:b/>
                <w:bCs/>
                <w:color w:val="C8102E"/>
                <w:sz w:val="20"/>
                <w:szCs w:val="20"/>
              </w:rPr>
              <w:t xml:space="preserve">Actual Behavior:</w:t>
            </w:r>
          </w:p>
          <w:p>
            <w:pPr>
              <w:spacing w:after="80"/>
            </w:pPr>
            <w:r>
              <w:rPr>
                <w:rFonts w:ascii="Calibri" w:cs="Calibri" w:eastAsia="Calibri" w:hAnsi="Calibri"/>
                <w:color w:val="444444"/>
                <w:sz w:val="21"/>
                <w:szCs w:val="21"/>
              </w:rPr>
              <w:t xml:space="preserve">The system processes the $600,000 transfer from an account with only $284,500 without any balance check. Success modal is displayed.</w:t>
            </w:r>
          </w:p>
        </w:tc>
      </w:tr>
      <w:tr>
        <w:tc>
          <w:tcPr>
            <w:tcW w:type="dxa" w:w="9360"/>
            <w:tcBorders>
              <w:top w:val="none" w:color="FFFFFF" w:sz="0"/>
              <w:left w:val="none" w:color="FFFFFF" w:sz="0"/>
              <w:bottom w:val="single" w:color="DDDDDD" w:sz="1"/>
              <w:right w:val="none" w:color="FFFFFF" w:sz="0"/>
            </w:tcBorders>
            <w:shd w:fill="FEF5F7" w:val="clear"/>
            <w:tcMar>
              <w:top w:type="dxa" w:w="40"/>
              <w:left w:type="dxa" w:w="160"/>
              <w:bottom w:type="dxa" w:w="120"/>
              <w:right w:type="dxa" w:w="160"/>
            </w:tcMar>
          </w:tcPr>
          <w:p>
            <w:pPr>
              <w:spacing w:after="40"/>
            </w:pPr>
            <w:r>
              <w:rPr>
                <w:rFonts w:ascii="Calibri" w:cs="Calibri" w:eastAsia="Calibri" w:hAnsi="Calibri"/>
                <w:b/>
                <w:bCs/>
                <w:color w:val="7B5B00"/>
                <w:sz w:val="20"/>
                <w:szCs w:val="20"/>
              </w:rPr>
              <w:t xml:space="preserve">Business Impact:</w:t>
            </w:r>
          </w:p>
          <w:p>
            <w:pPr>
              <w:spacing w:after="0"/>
            </w:pPr>
            <w:r>
              <w:rPr>
                <w:rFonts w:ascii="Calibri" w:cs="Calibri" w:eastAsia="Calibri" w:hAnsi="Calibri"/>
                <w:i/>
                <w:iCs/>
                <w:color w:val="444444"/>
                <w:sz w:val="21"/>
                <w:szCs w:val="21"/>
              </w:rPr>
              <w:t xml:space="preserve">Processing transfers beyond available balance creates negative account balances or overdrafts. This is a fundamental banking control failure. Pre-transfer balance validation is mandatory under banking regulations.</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102E" w:sz="6"/>
              <w:left w:val="none" w:color="FFFFFF" w:sz="0"/>
              <w:bottom w:val="none" w:color="FFFFFF" w:sz="0"/>
              <w:right w:val="none" w:color="FFFFFF" w:sz="0"/>
            </w:tcBorders>
            <w:shd w:fill="FEF5F7" w:val="clear"/>
            <w:tcMar>
              <w:top w:type="dxa" w:w="120"/>
              <w:left w:type="dxa" w:w="160"/>
              <w:bottom w:type="dxa" w:w="40"/>
              <w:right w:type="dxa" w:w="160"/>
            </w:tcMar>
          </w:tcPr>
          <w:p>
            <w:pPr>
              <w:spacing w:after="60"/>
            </w:pPr>
            <w:r>
              <w:rPr>
                <w:rFonts w:ascii="Calibri" w:cs="Calibri" w:eastAsia="Calibri" w:hAnsi="Calibri"/>
                <w:b/>
                <w:bCs/>
                <w:color w:val="C8102E"/>
                <w:sz w:val="24"/>
                <w:szCs w:val="24"/>
              </w:rPr>
              <w:t xml:space="preserve">BUG-C3</w:t>
            </w:r>
            <w:r>
              <w:rPr>
                <w:rFonts w:ascii="Calibri" w:cs="Calibri" w:eastAsia="Calibri" w:hAnsi="Calibri"/>
                <w:color w:val="999999"/>
                <w:sz w:val="20"/>
                <w:szCs w:val="20"/>
              </w:rPr>
              <w:t xml:space="preserve">  |  </w:t>
            </w:r>
            <w:r>
              <w:rPr>
                <w:rFonts w:ascii="Calibri" w:cs="Calibri" w:eastAsia="Calibri" w:hAnsi="Calibri"/>
                <w:b/>
                <w:bCs/>
                <w:color w:val="C8102E"/>
                <w:sz w:val="18"/>
                <w:szCs w:val="18"/>
              </w:rPr>
              <w:t xml:space="preserve">CRITICAL</w:t>
            </w:r>
            <w:r>
              <w:rPr>
                <w:rFonts w:ascii="Calibri" w:cs="Calibri" w:eastAsia="Calibri" w:hAnsi="Calibri"/>
                <w:color w:val="999999"/>
                <w:sz w:val="20"/>
                <w:szCs w:val="20"/>
              </w:rPr>
              <w:t xml:space="preserve">  |  </w:t>
            </w:r>
            <w:r>
              <w:rPr>
                <w:rFonts w:ascii="Calibri" w:cs="Calibri" w:eastAsia="Calibri" w:hAnsi="Calibri"/>
                <w:color w:val="666666"/>
                <w:sz w:val="20"/>
                <w:szCs w:val="20"/>
              </w:rPr>
              <w:t xml:space="preserve">Page: </w:t>
            </w:r>
            <w:r>
              <w:rPr>
                <w:rFonts w:ascii="Calibri" w:cs="Calibri" w:eastAsia="Calibri" w:hAnsi="Calibri"/>
                <w:b/>
                <w:bCs/>
                <w:color w:val="333333"/>
                <w:sz w:val="20"/>
                <w:szCs w:val="20"/>
              </w:rPr>
              <w:t xml:space="preserve">Fund Transfer</w:t>
            </w:r>
          </w:p>
          <w:p>
            <w:pPr>
              <w:spacing w:after="100"/>
            </w:pPr>
            <w:r>
              <w:rPr>
                <w:rFonts w:ascii="Calibri" w:cs="Calibri" w:eastAsia="Calibri" w:hAnsi="Calibri"/>
                <w:b/>
                <w:bCs/>
                <w:color w:val="1A2744"/>
                <w:sz w:val="26"/>
                <w:szCs w:val="26"/>
              </w:rPr>
              <w:t xml:space="preserve">Same-Account Transfer Allowed</w:t>
            </w:r>
          </w:p>
        </w:tc>
      </w:tr>
      <w:tr>
        <w:tc>
          <w:tcPr>
            <w:tcW w:type="dxa" w:w="9360"/>
            <w:tcBorders>
              <w:top w:val="none" w:color="FFFFFF" w:sz="0"/>
              <w:left w:val="none" w:color="FFFFFF" w:sz="0"/>
              <w:bottom w:val="none" w:color="FFFFFF" w:sz="0"/>
              <w:right w:val="none" w:color="FFFFFF" w:sz="0"/>
            </w:tcBorders>
            <w:shd w:fill="FEF5F7" w:val="clear"/>
            <w:tcMar>
              <w:top w:type="dxa" w:w="40"/>
              <w:left w:type="dxa" w:w="160"/>
              <w:bottom w:type="dxa" w:w="40"/>
              <w:right w:type="dxa" w:w="160"/>
            </w:tcMar>
          </w:tcPr>
          <w:p>
            <w:pPr>
              <w:spacing w:after="40"/>
            </w:pPr>
            <w:r>
              <w:rPr>
                <w:rFonts w:ascii="Calibri" w:cs="Calibri" w:eastAsia="Calibri" w:hAnsi="Calibri"/>
                <w:b/>
                <w:bCs/>
                <w:color w:val="1A2744"/>
                <w:sz w:val="20"/>
                <w:szCs w:val="20"/>
              </w:rPr>
              <w:t xml:space="preserve">Steps to Reproduce:</w:t>
            </w:r>
          </w:p>
          <w:p>
            <w:pPr>
              <w:spacing w:after="80"/>
            </w:pPr>
            <w:r>
              <w:rPr>
                <w:rFonts w:ascii="Calibri" w:cs="Calibri" w:eastAsia="Calibri" w:hAnsi="Calibri"/>
                <w:color w:val="444444"/>
                <w:sz w:val="21"/>
                <w:szCs w:val="21"/>
              </w:rPr>
              <w:t xml:space="preserve">1. Navigate to Fund Transfer page.
2. Select "Savings — ****6628" as BOTH Source Account and Destination Account.
3. Enter any amount (e.g., $1,000).
4. Click "Submit Transfer."</w:t>
            </w:r>
          </w:p>
        </w:tc>
      </w:tr>
      <w:tr>
        <w:tc>
          <w:tcPr>
            <w:tcW w:type="dxa" w:w="9360"/>
            <w:tcBorders>
              <w:top w:val="none" w:color="FFFFFF" w:sz="0"/>
              <w:left w:val="none" w:color="FFFFFF" w:sz="0"/>
              <w:bottom w:val="none" w:color="FFFFFF" w:sz="0"/>
              <w:right w:val="none" w:color="FFFFFF" w:sz="0"/>
            </w:tcBorders>
            <w:shd w:fill="FEF5F7" w:val="clear"/>
            <w:tcMar>
              <w:top w:type="dxa" w:w="40"/>
              <w:left w:type="dxa" w:w="160"/>
              <w:bottom w:type="dxa" w:w="40"/>
              <w:right w:type="dxa" w:w="160"/>
            </w:tcMar>
          </w:tcPr>
          <w:p>
            <w:pPr>
              <w:spacing w:after="40"/>
            </w:pPr>
            <w:r>
              <w:rPr>
                <w:rFonts w:ascii="Calibri" w:cs="Calibri" w:eastAsia="Calibri" w:hAnsi="Calibri"/>
                <w:b/>
                <w:bCs/>
                <w:color w:val="1B8A5A"/>
                <w:sz w:val="20"/>
                <w:szCs w:val="20"/>
              </w:rPr>
              <w:t xml:space="preserve">Expected Behavior:</w:t>
            </w:r>
          </w:p>
          <w:p>
            <w:pPr>
              <w:spacing w:after="80"/>
            </w:pPr>
            <w:r>
              <w:rPr>
                <w:rFonts w:ascii="Calibri" w:cs="Calibri" w:eastAsia="Calibri" w:hAnsi="Calibri"/>
                <w:color w:val="444444"/>
                <w:sz w:val="21"/>
                <w:szCs w:val="21"/>
              </w:rPr>
              <w:t xml:space="preserve">The system should prevent submission when Source and Destination are identical, showing an error: "Source and destination accounts cannot be the same."</w:t>
            </w:r>
          </w:p>
          <w:p>
            <w:pPr>
              <w:spacing w:after="40"/>
            </w:pPr>
            <w:r>
              <w:rPr>
                <w:rFonts w:ascii="Calibri" w:cs="Calibri" w:eastAsia="Calibri" w:hAnsi="Calibri"/>
                <w:b/>
                <w:bCs/>
                <w:color w:val="C8102E"/>
                <w:sz w:val="20"/>
                <w:szCs w:val="20"/>
              </w:rPr>
              <w:t xml:space="preserve">Actual Behavior:</w:t>
            </w:r>
          </w:p>
          <w:p>
            <w:pPr>
              <w:spacing w:after="80"/>
            </w:pPr>
            <w:r>
              <w:rPr>
                <w:rFonts w:ascii="Calibri" w:cs="Calibri" w:eastAsia="Calibri" w:hAnsi="Calibri"/>
                <w:color w:val="444444"/>
                <w:sz w:val="21"/>
                <w:szCs w:val="21"/>
              </w:rPr>
              <w:t xml:space="preserve">The transfer is accepted and processed. The confirmation modal shows the transfer as successful, even though both accounts are identical.</w:t>
            </w:r>
          </w:p>
        </w:tc>
      </w:tr>
      <w:tr>
        <w:tc>
          <w:tcPr>
            <w:tcW w:type="dxa" w:w="9360"/>
            <w:tcBorders>
              <w:top w:val="none" w:color="FFFFFF" w:sz="0"/>
              <w:left w:val="none" w:color="FFFFFF" w:sz="0"/>
              <w:bottom w:val="single" w:color="DDDDDD" w:sz="1"/>
              <w:right w:val="none" w:color="FFFFFF" w:sz="0"/>
            </w:tcBorders>
            <w:shd w:fill="FEF5F7" w:val="clear"/>
            <w:tcMar>
              <w:top w:type="dxa" w:w="40"/>
              <w:left w:type="dxa" w:w="160"/>
              <w:bottom w:type="dxa" w:w="120"/>
              <w:right w:type="dxa" w:w="160"/>
            </w:tcMar>
          </w:tcPr>
          <w:p>
            <w:pPr>
              <w:spacing w:after="40"/>
            </w:pPr>
            <w:r>
              <w:rPr>
                <w:rFonts w:ascii="Calibri" w:cs="Calibri" w:eastAsia="Calibri" w:hAnsi="Calibri"/>
                <w:b/>
                <w:bCs/>
                <w:color w:val="7B5B00"/>
                <w:sz w:val="20"/>
                <w:szCs w:val="20"/>
              </w:rPr>
              <w:t xml:space="preserve">Business Impact:</w:t>
            </w:r>
          </w:p>
          <w:p>
            <w:pPr>
              <w:spacing w:after="0"/>
            </w:pPr>
            <w:r>
              <w:rPr>
                <w:rFonts w:ascii="Calibri" w:cs="Calibri" w:eastAsia="Calibri" w:hAnsi="Calibri"/>
                <w:i/>
                <w:iCs/>
                <w:color w:val="444444"/>
                <w:sz w:val="21"/>
                <w:szCs w:val="21"/>
              </w:rPr>
              <w:t xml:space="preserve">A self-transfer is logically invalid — it either duplicates money (creating funds from nothing) or produces a zero-net transaction that pollutes transaction records. Banking systems must prevent transfers where source equals destination.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102E" w:sz="6"/>
              <w:left w:val="none" w:color="FFFFFF" w:sz="0"/>
              <w:bottom w:val="none" w:color="FFFFFF" w:sz="0"/>
              <w:right w:val="none" w:color="FFFFFF" w:sz="0"/>
            </w:tcBorders>
            <w:shd w:fill="FEF5F7" w:val="clear"/>
            <w:tcMar>
              <w:top w:type="dxa" w:w="120"/>
              <w:left w:type="dxa" w:w="160"/>
              <w:bottom w:type="dxa" w:w="40"/>
              <w:right w:type="dxa" w:w="160"/>
            </w:tcMar>
          </w:tcPr>
          <w:p>
            <w:pPr>
              <w:spacing w:after="60"/>
            </w:pPr>
            <w:r>
              <w:rPr>
                <w:rFonts w:ascii="Calibri" w:cs="Calibri" w:eastAsia="Calibri" w:hAnsi="Calibri"/>
                <w:b/>
                <w:bCs/>
                <w:color w:val="C8102E"/>
                <w:sz w:val="24"/>
                <w:szCs w:val="24"/>
              </w:rPr>
              <w:t xml:space="preserve">BUG-C4</w:t>
            </w:r>
            <w:r>
              <w:rPr>
                <w:rFonts w:ascii="Calibri" w:cs="Calibri" w:eastAsia="Calibri" w:hAnsi="Calibri"/>
                <w:color w:val="999999"/>
                <w:sz w:val="20"/>
                <w:szCs w:val="20"/>
              </w:rPr>
              <w:t xml:space="preserve">  |  </w:t>
            </w:r>
            <w:r>
              <w:rPr>
                <w:rFonts w:ascii="Calibri" w:cs="Calibri" w:eastAsia="Calibri" w:hAnsi="Calibri"/>
                <w:b/>
                <w:bCs/>
                <w:color w:val="C8102E"/>
                <w:sz w:val="18"/>
                <w:szCs w:val="18"/>
              </w:rPr>
              <w:t xml:space="preserve">CRITICAL</w:t>
            </w:r>
            <w:r>
              <w:rPr>
                <w:rFonts w:ascii="Calibri" w:cs="Calibri" w:eastAsia="Calibri" w:hAnsi="Calibri"/>
                <w:color w:val="999999"/>
                <w:sz w:val="20"/>
                <w:szCs w:val="20"/>
              </w:rPr>
              <w:t xml:space="preserve">  |  </w:t>
            </w:r>
            <w:r>
              <w:rPr>
                <w:rFonts w:ascii="Calibri" w:cs="Calibri" w:eastAsia="Calibri" w:hAnsi="Calibri"/>
                <w:color w:val="666666"/>
                <w:sz w:val="20"/>
                <w:szCs w:val="20"/>
              </w:rPr>
              <w:t xml:space="preserve">Page: </w:t>
            </w:r>
            <w:r>
              <w:rPr>
                <w:rFonts w:ascii="Calibri" w:cs="Calibri" w:eastAsia="Calibri" w:hAnsi="Calibri"/>
                <w:b/>
                <w:bCs/>
                <w:color w:val="333333"/>
                <w:sz w:val="20"/>
                <w:szCs w:val="20"/>
              </w:rPr>
              <w:t xml:space="preserve">Bill Payment</w:t>
            </w:r>
          </w:p>
          <w:p>
            <w:pPr>
              <w:spacing w:after="100"/>
            </w:pPr>
            <w:r>
              <w:rPr>
                <w:rFonts w:ascii="Calibri" w:cs="Calibri" w:eastAsia="Calibri" w:hAnsi="Calibri"/>
                <w:b/>
                <w:bCs/>
                <w:color w:val="1A2744"/>
                <w:sz w:val="26"/>
                <w:szCs w:val="26"/>
              </w:rPr>
              <w:t xml:space="preserve">Payment Confirmation Shows Different Amount Than Entered</w:t>
            </w:r>
          </w:p>
        </w:tc>
      </w:tr>
      <w:tr>
        <w:tc>
          <w:tcPr>
            <w:tcW w:type="dxa" w:w="9360"/>
            <w:tcBorders>
              <w:top w:val="none" w:color="FFFFFF" w:sz="0"/>
              <w:left w:val="none" w:color="FFFFFF" w:sz="0"/>
              <w:bottom w:val="none" w:color="FFFFFF" w:sz="0"/>
              <w:right w:val="none" w:color="FFFFFF" w:sz="0"/>
            </w:tcBorders>
            <w:shd w:fill="FEF5F7" w:val="clear"/>
            <w:tcMar>
              <w:top w:type="dxa" w:w="40"/>
              <w:left w:type="dxa" w:w="160"/>
              <w:bottom w:type="dxa" w:w="40"/>
              <w:right w:type="dxa" w:w="160"/>
            </w:tcMar>
          </w:tcPr>
          <w:p>
            <w:pPr>
              <w:spacing w:after="40"/>
            </w:pPr>
            <w:r>
              <w:rPr>
                <w:rFonts w:ascii="Calibri" w:cs="Calibri" w:eastAsia="Calibri" w:hAnsi="Calibri"/>
                <w:b/>
                <w:bCs/>
                <w:color w:val="1A2744"/>
                <w:sz w:val="20"/>
                <w:szCs w:val="20"/>
              </w:rPr>
              <w:t xml:space="preserve">Steps to Reproduce:</w:t>
            </w:r>
          </w:p>
          <w:p>
            <w:pPr>
              <w:spacing w:after="80"/>
            </w:pPr>
            <w:r>
              <w:rPr>
                <w:rFonts w:ascii="Calibri" w:cs="Calibri" w:eastAsia="Calibri" w:hAnsi="Calibri"/>
                <w:color w:val="444444"/>
                <w:sz w:val="21"/>
                <w:szCs w:val="21"/>
              </w:rPr>
              <w:t xml:space="preserve">1. Navigate to Bill Payment page.
2. Scroll down to the "Quick Pay" form.
3. Select any Payee and enter $500 as the Amount.
4. Click "Pay Now."
5. Read the confirmation modal carefully.</w:t>
            </w:r>
          </w:p>
        </w:tc>
      </w:tr>
      <w:tr>
        <w:tc>
          <w:tcPr>
            <w:tcW w:type="dxa" w:w="9360"/>
            <w:tcBorders>
              <w:top w:val="none" w:color="FFFFFF" w:sz="0"/>
              <w:left w:val="none" w:color="FFFFFF" w:sz="0"/>
              <w:bottom w:val="none" w:color="FFFFFF" w:sz="0"/>
              <w:right w:val="none" w:color="FFFFFF" w:sz="0"/>
            </w:tcBorders>
            <w:shd w:fill="FEF5F7" w:val="clear"/>
            <w:tcMar>
              <w:top w:type="dxa" w:w="40"/>
              <w:left w:type="dxa" w:w="160"/>
              <w:bottom w:type="dxa" w:w="40"/>
              <w:right w:type="dxa" w:w="160"/>
            </w:tcMar>
          </w:tcPr>
          <w:p>
            <w:pPr>
              <w:spacing w:after="40"/>
            </w:pPr>
            <w:r>
              <w:rPr>
                <w:rFonts w:ascii="Calibri" w:cs="Calibri" w:eastAsia="Calibri" w:hAnsi="Calibri"/>
                <w:b/>
                <w:bCs/>
                <w:color w:val="1B8A5A"/>
                <w:sz w:val="20"/>
                <w:szCs w:val="20"/>
              </w:rPr>
              <w:t xml:space="preserve">Expected Behavior:</w:t>
            </w:r>
          </w:p>
          <w:p>
            <w:pPr>
              <w:spacing w:after="80"/>
            </w:pPr>
            <w:r>
              <w:rPr>
                <w:rFonts w:ascii="Calibri" w:cs="Calibri" w:eastAsia="Calibri" w:hAnsi="Calibri"/>
                <w:color w:val="444444"/>
                <w:sz w:val="21"/>
                <w:szCs w:val="21"/>
              </w:rPr>
              <w:t xml:space="preserve">The confirmation modal should display exactly $500.00 — matching the amount the user entered.</w:t>
            </w:r>
          </w:p>
          <w:p>
            <w:pPr>
              <w:spacing w:after="40"/>
            </w:pPr>
            <w:r>
              <w:rPr>
                <w:rFonts w:ascii="Calibri" w:cs="Calibri" w:eastAsia="Calibri" w:hAnsi="Calibri"/>
                <w:b/>
                <w:bCs/>
                <w:color w:val="C8102E"/>
                <w:sz w:val="20"/>
                <w:szCs w:val="20"/>
              </w:rPr>
              <w:t xml:space="preserve">Actual Behavior:</w:t>
            </w:r>
          </w:p>
          <w:p>
            <w:pPr>
              <w:spacing w:after="80"/>
            </w:pPr>
            <w:r>
              <w:rPr>
                <w:rFonts w:ascii="Calibri" w:cs="Calibri" w:eastAsia="Calibri" w:hAnsi="Calibri"/>
                <w:color w:val="444444"/>
                <w:sz w:val="21"/>
                <w:szCs w:val="21"/>
              </w:rPr>
              <w:t xml:space="preserve">The confirmation modal displays $520.00 — a $20 discrepancy. The system silently adds $20 to every payment amount in the confirmation. Try with other amounts: $100 shows as $120, $1000 shows as $1020.</w:t>
            </w:r>
          </w:p>
        </w:tc>
      </w:tr>
      <w:tr>
        <w:tc>
          <w:tcPr>
            <w:tcW w:type="dxa" w:w="9360"/>
            <w:tcBorders>
              <w:top w:val="none" w:color="FFFFFF" w:sz="0"/>
              <w:left w:val="none" w:color="FFFFFF" w:sz="0"/>
              <w:bottom w:val="single" w:color="DDDDDD" w:sz="1"/>
              <w:right w:val="none" w:color="FFFFFF" w:sz="0"/>
            </w:tcBorders>
            <w:shd w:fill="FEF5F7" w:val="clear"/>
            <w:tcMar>
              <w:top w:type="dxa" w:w="40"/>
              <w:left w:type="dxa" w:w="160"/>
              <w:bottom w:type="dxa" w:w="120"/>
              <w:right w:type="dxa" w:w="160"/>
            </w:tcMar>
          </w:tcPr>
          <w:p>
            <w:pPr>
              <w:spacing w:after="40"/>
            </w:pPr>
            <w:r>
              <w:rPr>
                <w:rFonts w:ascii="Calibri" w:cs="Calibri" w:eastAsia="Calibri" w:hAnsi="Calibri"/>
                <w:b/>
                <w:bCs/>
                <w:color w:val="7B5B00"/>
                <w:sz w:val="20"/>
                <w:szCs w:val="20"/>
              </w:rPr>
              <w:t xml:space="preserve">Business Impact:</w:t>
            </w:r>
          </w:p>
          <w:p>
            <w:pPr>
              <w:spacing w:after="0"/>
            </w:pPr>
            <w:r>
              <w:rPr>
                <w:rFonts w:ascii="Calibri" w:cs="Calibri" w:eastAsia="Calibri" w:hAnsi="Calibri"/>
                <w:i/>
                <w:iCs/>
                <w:color w:val="444444"/>
                <w:sz w:val="21"/>
                <w:szCs w:val="21"/>
              </w:rPr>
              <w:t xml:space="preserve">In banking, the authorized amount MUST exactly match the processed amount. A silent discrepancy is a regulatory violation (CFPB, UDAAP). This erodes customer trust and could result in overcharges, disputes, and legal liability.</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102E" w:sz="6"/>
              <w:left w:val="none" w:color="FFFFFF" w:sz="0"/>
              <w:bottom w:val="none" w:color="FFFFFF" w:sz="0"/>
              <w:right w:val="none" w:color="FFFFFF" w:sz="0"/>
            </w:tcBorders>
            <w:shd w:fill="FEF5F7" w:val="clear"/>
            <w:tcMar>
              <w:top w:type="dxa" w:w="120"/>
              <w:left w:type="dxa" w:w="160"/>
              <w:bottom w:type="dxa" w:w="40"/>
              <w:right w:type="dxa" w:w="160"/>
            </w:tcMar>
          </w:tcPr>
          <w:p>
            <w:pPr>
              <w:spacing w:after="60"/>
            </w:pPr>
            <w:r>
              <w:rPr>
                <w:rFonts w:ascii="Calibri" w:cs="Calibri" w:eastAsia="Calibri" w:hAnsi="Calibri"/>
                <w:b/>
                <w:bCs/>
                <w:color w:val="C8102E"/>
                <w:sz w:val="24"/>
                <w:szCs w:val="24"/>
              </w:rPr>
              <w:t xml:space="preserve">BUG-C5</w:t>
            </w:r>
            <w:r>
              <w:rPr>
                <w:rFonts w:ascii="Calibri" w:cs="Calibri" w:eastAsia="Calibri" w:hAnsi="Calibri"/>
                <w:color w:val="999999"/>
                <w:sz w:val="20"/>
                <w:szCs w:val="20"/>
              </w:rPr>
              <w:t xml:space="preserve">  |  </w:t>
            </w:r>
            <w:r>
              <w:rPr>
                <w:rFonts w:ascii="Calibri" w:cs="Calibri" w:eastAsia="Calibri" w:hAnsi="Calibri"/>
                <w:b/>
                <w:bCs/>
                <w:color w:val="C8102E"/>
                <w:sz w:val="18"/>
                <w:szCs w:val="18"/>
              </w:rPr>
              <w:t xml:space="preserve">CRITICAL</w:t>
            </w:r>
            <w:r>
              <w:rPr>
                <w:rFonts w:ascii="Calibri" w:cs="Calibri" w:eastAsia="Calibri" w:hAnsi="Calibri"/>
                <w:color w:val="999999"/>
                <w:sz w:val="20"/>
                <w:szCs w:val="20"/>
              </w:rPr>
              <w:t xml:space="preserve">  |  </w:t>
            </w:r>
            <w:r>
              <w:rPr>
                <w:rFonts w:ascii="Calibri" w:cs="Calibri" w:eastAsia="Calibri" w:hAnsi="Calibri"/>
                <w:color w:val="666666"/>
                <w:sz w:val="20"/>
                <w:szCs w:val="20"/>
              </w:rPr>
              <w:t xml:space="preserve">Page: </w:t>
            </w:r>
            <w:r>
              <w:rPr>
                <w:rFonts w:ascii="Calibri" w:cs="Calibri" w:eastAsia="Calibri" w:hAnsi="Calibri"/>
                <w:b/>
                <w:bCs/>
                <w:color w:val="333333"/>
                <w:sz w:val="20"/>
                <w:szCs w:val="20"/>
              </w:rPr>
              <w:t xml:space="preserve">Dashboard</w:t>
            </w:r>
          </w:p>
          <w:p>
            <w:pPr>
              <w:spacing w:after="100"/>
            </w:pPr>
            <w:r>
              <w:rPr>
                <w:rFonts w:ascii="Calibri" w:cs="Calibri" w:eastAsia="Calibri" w:hAnsi="Calibri"/>
                <w:b/>
                <w:bCs/>
                <w:color w:val="1A2744"/>
                <w:sz w:val="26"/>
                <w:szCs w:val="26"/>
              </w:rPr>
              <w:t xml:space="preserve">Portfolio Allocation Percentages Do Not Total 100%</w:t>
            </w:r>
          </w:p>
        </w:tc>
      </w:tr>
      <w:tr>
        <w:tc>
          <w:tcPr>
            <w:tcW w:type="dxa" w:w="9360"/>
            <w:tcBorders>
              <w:top w:val="none" w:color="FFFFFF" w:sz="0"/>
              <w:left w:val="none" w:color="FFFFFF" w:sz="0"/>
              <w:bottom w:val="none" w:color="FFFFFF" w:sz="0"/>
              <w:right w:val="none" w:color="FFFFFF" w:sz="0"/>
            </w:tcBorders>
            <w:shd w:fill="FEF5F7" w:val="clear"/>
            <w:tcMar>
              <w:top w:type="dxa" w:w="40"/>
              <w:left w:type="dxa" w:w="160"/>
              <w:bottom w:type="dxa" w:w="40"/>
              <w:right w:type="dxa" w:w="160"/>
            </w:tcMar>
          </w:tcPr>
          <w:p>
            <w:pPr>
              <w:spacing w:after="40"/>
            </w:pPr>
            <w:r>
              <w:rPr>
                <w:rFonts w:ascii="Calibri" w:cs="Calibri" w:eastAsia="Calibri" w:hAnsi="Calibri"/>
                <w:b/>
                <w:bCs/>
                <w:color w:val="1A2744"/>
                <w:sz w:val="20"/>
                <w:szCs w:val="20"/>
              </w:rPr>
              <w:t xml:space="preserve">Steps to Reproduce:</w:t>
            </w:r>
          </w:p>
          <w:p>
            <w:pPr>
              <w:spacing w:after="80"/>
            </w:pPr>
            <w:r>
              <w:rPr>
                <w:rFonts w:ascii="Calibri" w:cs="Calibri" w:eastAsia="Calibri" w:hAnsi="Calibri"/>
                <w:color w:val="444444"/>
                <w:sz w:val="21"/>
                <w:szCs w:val="21"/>
              </w:rPr>
              <w:t xml:space="preserve">1. Navigate to the Dashboard page.
2. Look at the Asset Allocation donut chart on the right side.
3. Read the legend values: Equities 42%, Fixed Income 28%, Alternatives 18%, Cash 7%.
4. Add them up: 42 + 28 + 18 + 7 = 95%.</w:t>
            </w:r>
          </w:p>
        </w:tc>
      </w:tr>
      <w:tr>
        <w:tc>
          <w:tcPr>
            <w:tcW w:type="dxa" w:w="9360"/>
            <w:tcBorders>
              <w:top w:val="none" w:color="FFFFFF" w:sz="0"/>
              <w:left w:val="none" w:color="FFFFFF" w:sz="0"/>
              <w:bottom w:val="none" w:color="FFFFFF" w:sz="0"/>
              <w:right w:val="none" w:color="FFFFFF" w:sz="0"/>
            </w:tcBorders>
            <w:shd w:fill="FEF5F7" w:val="clear"/>
            <w:tcMar>
              <w:top w:type="dxa" w:w="40"/>
              <w:left w:type="dxa" w:w="160"/>
              <w:bottom w:type="dxa" w:w="40"/>
              <w:right w:type="dxa" w:w="160"/>
            </w:tcMar>
          </w:tcPr>
          <w:p>
            <w:pPr>
              <w:spacing w:after="40"/>
            </w:pPr>
            <w:r>
              <w:rPr>
                <w:rFonts w:ascii="Calibri" w:cs="Calibri" w:eastAsia="Calibri" w:hAnsi="Calibri"/>
                <w:b/>
                <w:bCs/>
                <w:color w:val="1B8A5A"/>
                <w:sz w:val="20"/>
                <w:szCs w:val="20"/>
              </w:rPr>
              <w:t xml:space="preserve">Expected Behavior:</w:t>
            </w:r>
          </w:p>
          <w:p>
            <w:pPr>
              <w:spacing w:after="80"/>
            </w:pPr>
            <w:r>
              <w:rPr>
                <w:rFonts w:ascii="Calibri" w:cs="Calibri" w:eastAsia="Calibri" w:hAnsi="Calibri"/>
                <w:color w:val="444444"/>
                <w:sz w:val="21"/>
                <w:szCs w:val="21"/>
              </w:rPr>
              <w:t xml:space="preserve">Asset allocation percentages should always sum to exactly 100%, representing the entire portfolio.</w:t>
            </w:r>
          </w:p>
          <w:p>
            <w:pPr>
              <w:spacing w:after="40"/>
            </w:pPr>
            <w:r>
              <w:rPr>
                <w:rFonts w:ascii="Calibri" w:cs="Calibri" w:eastAsia="Calibri" w:hAnsi="Calibri"/>
                <w:b/>
                <w:bCs/>
                <w:color w:val="C8102E"/>
                <w:sz w:val="20"/>
                <w:szCs w:val="20"/>
              </w:rPr>
              <w:t xml:space="preserve">Actual Behavior:</w:t>
            </w:r>
          </w:p>
          <w:p>
            <w:pPr>
              <w:spacing w:after="80"/>
            </w:pPr>
            <w:r>
              <w:rPr>
                <w:rFonts w:ascii="Calibri" w:cs="Calibri" w:eastAsia="Calibri" w:hAnsi="Calibri"/>
                <w:color w:val="444444"/>
                <w:sz w:val="21"/>
                <w:szCs w:val="21"/>
              </w:rPr>
              <w:t xml:space="preserve">The four allocation categories total only 95%. There is a missing 5% that is unaccounted for in both the chart and the legend.</w:t>
            </w:r>
          </w:p>
        </w:tc>
      </w:tr>
      <w:tr>
        <w:tc>
          <w:tcPr>
            <w:tcW w:type="dxa" w:w="9360"/>
            <w:tcBorders>
              <w:top w:val="none" w:color="FFFFFF" w:sz="0"/>
              <w:left w:val="none" w:color="FFFFFF" w:sz="0"/>
              <w:bottom w:val="single" w:color="DDDDDD" w:sz="1"/>
              <w:right w:val="none" w:color="FFFFFF" w:sz="0"/>
            </w:tcBorders>
            <w:shd w:fill="FEF5F7" w:val="clear"/>
            <w:tcMar>
              <w:top w:type="dxa" w:w="40"/>
              <w:left w:type="dxa" w:w="160"/>
              <w:bottom w:type="dxa" w:w="120"/>
              <w:right w:type="dxa" w:w="160"/>
            </w:tcMar>
          </w:tcPr>
          <w:p>
            <w:pPr>
              <w:spacing w:after="40"/>
            </w:pPr>
            <w:r>
              <w:rPr>
                <w:rFonts w:ascii="Calibri" w:cs="Calibri" w:eastAsia="Calibri" w:hAnsi="Calibri"/>
                <w:b/>
                <w:bCs/>
                <w:color w:val="7B5B00"/>
                <w:sz w:val="20"/>
                <w:szCs w:val="20"/>
              </w:rPr>
              <w:t xml:space="preserve">Business Impact:</w:t>
            </w:r>
          </w:p>
          <w:p>
            <w:pPr>
              <w:spacing w:after="0"/>
            </w:pPr>
            <w:r>
              <w:rPr>
                <w:rFonts w:ascii="Calibri" w:cs="Calibri" w:eastAsia="Calibri" w:hAnsi="Calibri"/>
                <w:i/>
                <w:iCs/>
                <w:color w:val="444444"/>
                <w:sz w:val="21"/>
                <w:szCs w:val="21"/>
              </w:rPr>
              <w:t xml:space="preserve">In wealth management, portfolio allocation must sum to 100% — every dollar must be categorized. A missing 5% on a $1.25M portfolio represents approximately $62,500 of untracked assets. This is a data integrity failure that would alarm clients and regulators.</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102E" w:sz="6"/>
              <w:left w:val="none" w:color="FFFFFF" w:sz="0"/>
              <w:bottom w:val="none" w:color="FFFFFF" w:sz="0"/>
              <w:right w:val="none" w:color="FFFFFF" w:sz="0"/>
            </w:tcBorders>
            <w:shd w:fill="FEF5F7" w:val="clear"/>
            <w:tcMar>
              <w:top w:type="dxa" w:w="120"/>
              <w:left w:type="dxa" w:w="160"/>
              <w:bottom w:type="dxa" w:w="40"/>
              <w:right w:type="dxa" w:w="160"/>
            </w:tcMar>
          </w:tcPr>
          <w:p>
            <w:pPr>
              <w:spacing w:after="60"/>
            </w:pPr>
            <w:r>
              <w:rPr>
                <w:rFonts w:ascii="Calibri" w:cs="Calibri" w:eastAsia="Calibri" w:hAnsi="Calibri"/>
                <w:b/>
                <w:bCs/>
                <w:color w:val="C8102E"/>
                <w:sz w:val="24"/>
                <w:szCs w:val="24"/>
              </w:rPr>
              <w:t xml:space="preserve">BUG-C6</w:t>
            </w:r>
            <w:r>
              <w:rPr>
                <w:rFonts w:ascii="Calibri" w:cs="Calibri" w:eastAsia="Calibri" w:hAnsi="Calibri"/>
                <w:color w:val="999999"/>
                <w:sz w:val="20"/>
                <w:szCs w:val="20"/>
              </w:rPr>
              <w:t xml:space="preserve">  |  </w:t>
            </w:r>
            <w:r>
              <w:rPr>
                <w:rFonts w:ascii="Calibri" w:cs="Calibri" w:eastAsia="Calibri" w:hAnsi="Calibri"/>
                <w:b/>
                <w:bCs/>
                <w:color w:val="C8102E"/>
                <w:sz w:val="18"/>
                <w:szCs w:val="18"/>
              </w:rPr>
              <w:t xml:space="preserve">CRITICAL</w:t>
            </w:r>
            <w:r>
              <w:rPr>
                <w:rFonts w:ascii="Calibri" w:cs="Calibri" w:eastAsia="Calibri" w:hAnsi="Calibri"/>
                <w:color w:val="999999"/>
                <w:sz w:val="20"/>
                <w:szCs w:val="20"/>
              </w:rPr>
              <w:t xml:space="preserve">  |  </w:t>
            </w:r>
            <w:r>
              <w:rPr>
                <w:rFonts w:ascii="Calibri" w:cs="Calibri" w:eastAsia="Calibri" w:hAnsi="Calibri"/>
                <w:color w:val="666666"/>
                <w:sz w:val="20"/>
                <w:szCs w:val="20"/>
              </w:rPr>
              <w:t xml:space="preserve">Page: </w:t>
            </w:r>
            <w:r>
              <w:rPr>
                <w:rFonts w:ascii="Calibri" w:cs="Calibri" w:eastAsia="Calibri" w:hAnsi="Calibri"/>
                <w:b/>
                <w:bCs/>
                <w:color w:val="333333"/>
                <w:sz w:val="20"/>
                <w:szCs w:val="20"/>
              </w:rPr>
              <w:t xml:space="preserve">Dashboard</w:t>
            </w:r>
          </w:p>
          <w:p>
            <w:pPr>
              <w:spacing w:after="100"/>
            </w:pPr>
            <w:r>
              <w:rPr>
                <w:rFonts w:ascii="Calibri" w:cs="Calibri" w:eastAsia="Calibri" w:hAnsi="Calibri"/>
                <w:b/>
                <w:bCs/>
                <w:color w:val="1A2744"/>
                <w:sz w:val="26"/>
                <w:szCs w:val="26"/>
              </w:rPr>
              <w:t xml:space="preserve">Full Account Number Displayed — PII Exposure</w:t>
            </w:r>
          </w:p>
        </w:tc>
      </w:tr>
      <w:tr>
        <w:tc>
          <w:tcPr>
            <w:tcW w:type="dxa" w:w="9360"/>
            <w:tcBorders>
              <w:top w:val="none" w:color="FFFFFF" w:sz="0"/>
              <w:left w:val="none" w:color="FFFFFF" w:sz="0"/>
              <w:bottom w:val="none" w:color="FFFFFF" w:sz="0"/>
              <w:right w:val="none" w:color="FFFFFF" w:sz="0"/>
            </w:tcBorders>
            <w:shd w:fill="FEF5F7" w:val="clear"/>
            <w:tcMar>
              <w:top w:type="dxa" w:w="40"/>
              <w:left w:type="dxa" w:w="160"/>
              <w:bottom w:type="dxa" w:w="40"/>
              <w:right w:type="dxa" w:w="160"/>
            </w:tcMar>
          </w:tcPr>
          <w:p>
            <w:pPr>
              <w:spacing w:after="40"/>
            </w:pPr>
            <w:r>
              <w:rPr>
                <w:rFonts w:ascii="Calibri" w:cs="Calibri" w:eastAsia="Calibri" w:hAnsi="Calibri"/>
                <w:b/>
                <w:bCs/>
                <w:color w:val="1A2744"/>
                <w:sz w:val="20"/>
                <w:szCs w:val="20"/>
              </w:rPr>
              <w:t xml:space="preserve">Steps to Reproduce:</w:t>
            </w:r>
          </w:p>
          <w:p>
            <w:pPr>
              <w:spacing w:after="80"/>
            </w:pPr>
            <w:r>
              <w:rPr>
                <w:rFonts w:ascii="Calibri" w:cs="Calibri" w:eastAsia="Calibri" w:hAnsi="Calibri"/>
                <w:color w:val="444444"/>
                <w:sz w:val="21"/>
                <w:szCs w:val="21"/>
              </w:rPr>
              <w:t xml:space="preserve">1. Navigate to the Dashboard page.
2. Read the subtitle text below the welcome heading.
3. Observe: "Account: 4829-1057-3341-6628".</w:t>
            </w:r>
          </w:p>
        </w:tc>
      </w:tr>
      <w:tr>
        <w:tc>
          <w:tcPr>
            <w:tcW w:type="dxa" w:w="9360"/>
            <w:tcBorders>
              <w:top w:val="none" w:color="FFFFFF" w:sz="0"/>
              <w:left w:val="none" w:color="FFFFFF" w:sz="0"/>
              <w:bottom w:val="none" w:color="FFFFFF" w:sz="0"/>
              <w:right w:val="none" w:color="FFFFFF" w:sz="0"/>
            </w:tcBorders>
            <w:shd w:fill="FEF5F7" w:val="clear"/>
            <w:tcMar>
              <w:top w:type="dxa" w:w="40"/>
              <w:left w:type="dxa" w:w="160"/>
              <w:bottom w:type="dxa" w:w="40"/>
              <w:right w:type="dxa" w:w="160"/>
            </w:tcMar>
          </w:tcPr>
          <w:p>
            <w:pPr>
              <w:spacing w:after="40"/>
            </w:pPr>
            <w:r>
              <w:rPr>
                <w:rFonts w:ascii="Calibri" w:cs="Calibri" w:eastAsia="Calibri" w:hAnsi="Calibri"/>
                <w:b/>
                <w:bCs/>
                <w:color w:val="1B8A5A"/>
                <w:sz w:val="20"/>
                <w:szCs w:val="20"/>
              </w:rPr>
              <w:t xml:space="preserve">Expected Behavior:</w:t>
            </w:r>
          </w:p>
          <w:p>
            <w:pPr>
              <w:spacing w:after="80"/>
            </w:pPr>
            <w:r>
              <w:rPr>
                <w:rFonts w:ascii="Calibri" w:cs="Calibri" w:eastAsia="Calibri" w:hAnsi="Calibri"/>
                <w:color w:val="444444"/>
                <w:sz w:val="21"/>
                <w:szCs w:val="21"/>
              </w:rPr>
              <w:t xml:space="preserve">The account number should be masked, showing only the last 4 digits (e.g., "Account: ****-****-****-6628").</w:t>
            </w:r>
          </w:p>
          <w:p>
            <w:pPr>
              <w:spacing w:after="40"/>
            </w:pPr>
            <w:r>
              <w:rPr>
                <w:rFonts w:ascii="Calibri" w:cs="Calibri" w:eastAsia="Calibri" w:hAnsi="Calibri"/>
                <w:b/>
                <w:bCs/>
                <w:color w:val="C8102E"/>
                <w:sz w:val="20"/>
                <w:szCs w:val="20"/>
              </w:rPr>
              <w:t xml:space="preserve">Actual Behavior:</w:t>
            </w:r>
          </w:p>
          <w:p>
            <w:pPr>
              <w:spacing w:after="80"/>
            </w:pPr>
            <w:r>
              <w:rPr>
                <w:rFonts w:ascii="Calibri" w:cs="Calibri" w:eastAsia="Calibri" w:hAnsi="Calibri"/>
                <w:color w:val="444444"/>
                <w:sz w:val="21"/>
                <w:szCs w:val="21"/>
              </w:rPr>
              <w:t xml:space="preserve">The complete 16-digit account number is displayed in plain text. Any person viewing the screen can see the full number.</w:t>
            </w:r>
          </w:p>
        </w:tc>
      </w:tr>
      <w:tr>
        <w:tc>
          <w:tcPr>
            <w:tcW w:type="dxa" w:w="9360"/>
            <w:tcBorders>
              <w:top w:val="none" w:color="FFFFFF" w:sz="0"/>
              <w:left w:val="none" w:color="FFFFFF" w:sz="0"/>
              <w:bottom w:val="single" w:color="DDDDDD" w:sz="1"/>
              <w:right w:val="none" w:color="FFFFFF" w:sz="0"/>
            </w:tcBorders>
            <w:shd w:fill="FEF5F7" w:val="clear"/>
            <w:tcMar>
              <w:top w:type="dxa" w:w="40"/>
              <w:left w:type="dxa" w:w="160"/>
              <w:bottom w:type="dxa" w:w="120"/>
              <w:right w:type="dxa" w:w="160"/>
            </w:tcMar>
          </w:tcPr>
          <w:p>
            <w:pPr>
              <w:spacing w:after="40"/>
            </w:pPr>
            <w:r>
              <w:rPr>
                <w:rFonts w:ascii="Calibri" w:cs="Calibri" w:eastAsia="Calibri" w:hAnsi="Calibri"/>
                <w:b/>
                <w:bCs/>
                <w:color w:val="7B5B00"/>
                <w:sz w:val="20"/>
                <w:szCs w:val="20"/>
              </w:rPr>
              <w:t xml:space="preserve">Business Impact:</w:t>
            </w:r>
          </w:p>
          <w:p>
            <w:pPr>
              <w:spacing w:after="0"/>
            </w:pPr>
            <w:r>
              <w:rPr>
                <w:rFonts w:ascii="Calibri" w:cs="Calibri" w:eastAsia="Calibri" w:hAnsi="Calibri"/>
                <w:i/>
                <w:iCs/>
                <w:color w:val="444444"/>
                <w:sz w:val="21"/>
                <w:szCs w:val="21"/>
              </w:rPr>
              <w:t xml:space="preserve">Displaying full account numbers violates data protection regulations including GLBA and PCI-DSS. Full account numbers are PII and can be used for identity theft, unauthorized transactions, and social engineering attacks. Masking is a non-negotiable security requirement.</w:t>
            </w:r>
          </w:p>
        </w:tc>
      </w:tr>
    </w:tbl>
    <w:p>
      <w:r>
        <w:br w:type="page"/>
      </w:r>
    </w:p>
    <w:p>
      <w:pPr>
        <w:pStyle w:val="Heading1"/>
      </w:pPr>
      <w:r>
        <w:t xml:space="preserve">🟠  High Bugs</w:t>
      </w:r>
    </w:p>
    <w:p>
      <w:pPr>
        <w:spacing w:after="140" w:before="0"/>
      </w:pPr>
      <w:r>
        <w:rPr>
          <w:rFonts w:ascii="Calibri" w:cs="Calibri" w:eastAsia="Calibri" w:hAnsi="Calibri"/>
          <w:b w:val="false"/>
          <w:bCs w:val="false"/>
          <w:i w:val="false"/>
          <w:iCs w:val="false"/>
          <w:color w:val="333333"/>
          <w:sz w:val="22"/>
          <w:szCs w:val="22"/>
        </w:rPr>
        <w:t xml:space="preserve">High-severity bugs cause data inconsistencies, broken features, missing regulatory disclosures, or misleading information. They don’t directly move money incorrectly but significantly impact reliability and trust.</w:t>
      </w:r>
    </w:p>
    <w:p>
      <w:pPr>
        <w:pBdr>
          <w:bottom w:val="single" w:color="E8A020" w:sz="8" w:space="1"/>
        </w:pBdr>
        <w:spacing w:after="200" w:before="6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7A00" w:sz="6"/>
              <w:left w:val="none" w:color="FFFFFF" w:sz="0"/>
              <w:bottom w:val="none" w:color="FFFFFF" w:sz="0"/>
              <w:right w:val="none" w:color="FFFFFF" w:sz="0"/>
            </w:tcBorders>
            <w:shd w:fill="FFF8EE" w:val="clear"/>
            <w:tcMar>
              <w:top w:type="dxa" w:w="120"/>
              <w:left w:type="dxa" w:w="160"/>
              <w:bottom w:type="dxa" w:w="40"/>
              <w:right w:type="dxa" w:w="160"/>
            </w:tcMar>
          </w:tcPr>
          <w:p>
            <w:pPr>
              <w:spacing w:after="60"/>
            </w:pPr>
            <w:r>
              <w:rPr>
                <w:rFonts w:ascii="Calibri" w:cs="Calibri" w:eastAsia="Calibri" w:hAnsi="Calibri"/>
                <w:b/>
                <w:bCs/>
                <w:color w:val="B87A00"/>
                <w:sz w:val="24"/>
                <w:szCs w:val="24"/>
              </w:rPr>
              <w:t xml:space="preserve">BUG-H1</w:t>
            </w:r>
            <w:r>
              <w:rPr>
                <w:rFonts w:ascii="Calibri" w:cs="Calibri" w:eastAsia="Calibri" w:hAnsi="Calibri"/>
                <w:color w:val="999999"/>
                <w:sz w:val="20"/>
                <w:szCs w:val="20"/>
              </w:rPr>
              <w:t xml:space="preserve">  |  </w:t>
            </w:r>
            <w:r>
              <w:rPr>
                <w:rFonts w:ascii="Calibri" w:cs="Calibri" w:eastAsia="Calibri" w:hAnsi="Calibri"/>
                <w:b/>
                <w:bCs/>
                <w:color w:val="B87A00"/>
                <w:sz w:val="18"/>
                <w:szCs w:val="18"/>
              </w:rPr>
              <w:t xml:space="preserve">HIGH</w:t>
            </w:r>
            <w:r>
              <w:rPr>
                <w:rFonts w:ascii="Calibri" w:cs="Calibri" w:eastAsia="Calibri" w:hAnsi="Calibri"/>
                <w:color w:val="999999"/>
                <w:sz w:val="20"/>
                <w:szCs w:val="20"/>
              </w:rPr>
              <w:t xml:space="preserve">  |  </w:t>
            </w:r>
            <w:r>
              <w:rPr>
                <w:rFonts w:ascii="Calibri" w:cs="Calibri" w:eastAsia="Calibri" w:hAnsi="Calibri"/>
                <w:color w:val="666666"/>
                <w:sz w:val="20"/>
                <w:szCs w:val="20"/>
              </w:rPr>
              <w:t xml:space="preserve">Page: </w:t>
            </w:r>
            <w:r>
              <w:rPr>
                <w:rFonts w:ascii="Calibri" w:cs="Calibri" w:eastAsia="Calibri" w:hAnsi="Calibri"/>
                <w:b/>
                <w:bCs/>
                <w:color w:val="333333"/>
                <w:sz w:val="20"/>
                <w:szCs w:val="20"/>
              </w:rPr>
              <w:t xml:space="preserve">Dashboard</w:t>
            </w:r>
          </w:p>
          <w:p>
            <w:pPr>
              <w:spacing w:after="100"/>
            </w:pPr>
            <w:r>
              <w:rPr>
                <w:rFonts w:ascii="Calibri" w:cs="Calibri" w:eastAsia="Calibri" w:hAnsi="Calibri"/>
                <w:b/>
                <w:bCs/>
                <w:color w:val="1A2744"/>
                <w:sz w:val="26"/>
                <w:szCs w:val="26"/>
              </w:rPr>
              <w:t xml:space="preserve">Total Portfolio Value Does Not Match Sum of Individual Holdings</w:t>
            </w:r>
          </w:p>
        </w:tc>
      </w:tr>
      <w:tr>
        <w:tc>
          <w:tcPr>
            <w:tcW w:type="dxa" w:w="9360"/>
            <w:tcBorders>
              <w:top w:val="none" w:color="FFFFFF" w:sz="0"/>
              <w:left w:val="none" w:color="FFFFFF" w:sz="0"/>
              <w:bottom w:val="none" w:color="FFFFFF" w:sz="0"/>
              <w:right w:val="none" w:color="FFFFFF" w:sz="0"/>
            </w:tcBorders>
            <w:shd w:fill="FFF8EE" w:val="clear"/>
            <w:tcMar>
              <w:top w:type="dxa" w:w="40"/>
              <w:left w:type="dxa" w:w="160"/>
              <w:bottom w:type="dxa" w:w="40"/>
              <w:right w:type="dxa" w:w="160"/>
            </w:tcMar>
          </w:tcPr>
          <w:p>
            <w:pPr>
              <w:spacing w:after="40"/>
            </w:pPr>
            <w:r>
              <w:rPr>
                <w:rFonts w:ascii="Calibri" w:cs="Calibri" w:eastAsia="Calibri" w:hAnsi="Calibri"/>
                <w:b/>
                <w:bCs/>
                <w:color w:val="1A2744"/>
                <w:sz w:val="20"/>
                <w:szCs w:val="20"/>
              </w:rPr>
              <w:t xml:space="preserve">Steps to Reproduce:</w:t>
            </w:r>
          </w:p>
          <w:p>
            <w:pPr>
              <w:spacing w:after="80"/>
            </w:pPr>
            <w:r>
              <w:rPr>
                <w:rFonts w:ascii="Calibri" w:cs="Calibri" w:eastAsia="Calibri" w:hAnsi="Calibri"/>
                <w:color w:val="444444"/>
                <w:sz w:val="21"/>
                <w:szCs w:val="21"/>
              </w:rPr>
              <w:t xml:space="preserve">1. Navigate to the Dashboard page.
2. Note the "Total Portfolio Value" card: $1,247,850.00.
3. Note the individual cards: Equities $487,200 + Fixed Income $312,850.
4. Navigate to Holdings page for remaining values: Alternatives $198,400, Cash $78,260 (implied).
5. Calculate: $487,200 + $312,850 + $198,400 + $78,260 = $1,076,710.</w:t>
            </w:r>
          </w:p>
        </w:tc>
      </w:tr>
      <w:tr>
        <w:tc>
          <w:tcPr>
            <w:tcW w:type="dxa" w:w="9360"/>
            <w:tcBorders>
              <w:top w:val="none" w:color="FFFFFF" w:sz="0"/>
              <w:left w:val="none" w:color="FFFFFF" w:sz="0"/>
              <w:bottom w:val="none" w:color="FFFFFF" w:sz="0"/>
              <w:right w:val="none" w:color="FFFFFF" w:sz="0"/>
            </w:tcBorders>
            <w:shd w:fill="FFF8EE" w:val="clear"/>
            <w:tcMar>
              <w:top w:type="dxa" w:w="40"/>
              <w:left w:type="dxa" w:w="160"/>
              <w:bottom w:type="dxa" w:w="40"/>
              <w:right w:type="dxa" w:w="160"/>
            </w:tcMar>
          </w:tcPr>
          <w:p>
            <w:pPr>
              <w:spacing w:after="40"/>
            </w:pPr>
            <w:r>
              <w:rPr>
                <w:rFonts w:ascii="Calibri" w:cs="Calibri" w:eastAsia="Calibri" w:hAnsi="Calibri"/>
                <w:b/>
                <w:bCs/>
                <w:color w:val="1B8A5A"/>
                <w:sz w:val="20"/>
                <w:szCs w:val="20"/>
              </w:rPr>
              <w:t xml:space="preserve">Expected Behavior:</w:t>
            </w:r>
          </w:p>
          <w:p>
            <w:pPr>
              <w:spacing w:after="80"/>
            </w:pPr>
            <w:r>
              <w:rPr>
                <w:rFonts w:ascii="Calibri" w:cs="Calibri" w:eastAsia="Calibri" w:hAnsi="Calibri"/>
                <w:color w:val="444444"/>
                <w:sz w:val="21"/>
                <w:szCs w:val="21"/>
              </w:rPr>
              <w:t xml:space="preserve">The total portfolio value should equal the sum of all individual asset class values.</w:t>
            </w:r>
          </w:p>
          <w:p>
            <w:pPr>
              <w:spacing w:after="40"/>
            </w:pPr>
            <w:r>
              <w:rPr>
                <w:rFonts w:ascii="Calibri" w:cs="Calibri" w:eastAsia="Calibri" w:hAnsi="Calibri"/>
                <w:b/>
                <w:bCs/>
                <w:color w:val="C8102E"/>
                <w:sz w:val="20"/>
                <w:szCs w:val="20"/>
              </w:rPr>
              <w:t xml:space="preserve">Actual Behavior:</w:t>
            </w:r>
          </w:p>
          <w:p>
            <w:pPr>
              <w:spacing w:after="80"/>
            </w:pPr>
            <w:r>
              <w:rPr>
                <w:rFonts w:ascii="Calibri" w:cs="Calibri" w:eastAsia="Calibri" w:hAnsi="Calibri"/>
                <w:color w:val="444444"/>
                <w:sz w:val="21"/>
                <w:szCs w:val="21"/>
              </w:rPr>
              <w:t xml:space="preserve">The displayed total ($1,247,850) exceeds the sum of individual values ($1,076,710) by $171,140. The numbers are mathematically inconsistent.</w:t>
            </w:r>
          </w:p>
        </w:tc>
      </w:tr>
      <w:tr>
        <w:tc>
          <w:tcPr>
            <w:tcW w:type="dxa" w:w="9360"/>
            <w:tcBorders>
              <w:top w:val="none" w:color="FFFFFF" w:sz="0"/>
              <w:left w:val="none" w:color="FFFFFF" w:sz="0"/>
              <w:bottom w:val="single" w:color="DDDDDD" w:sz="1"/>
              <w:right w:val="none" w:color="FFFFFF" w:sz="0"/>
            </w:tcBorders>
            <w:shd w:fill="FFF8EE" w:val="clear"/>
            <w:tcMar>
              <w:top w:type="dxa" w:w="40"/>
              <w:left w:type="dxa" w:w="160"/>
              <w:bottom w:type="dxa" w:w="120"/>
              <w:right w:type="dxa" w:w="160"/>
            </w:tcMar>
          </w:tcPr>
          <w:p>
            <w:pPr>
              <w:spacing w:after="40"/>
            </w:pPr>
            <w:r>
              <w:rPr>
                <w:rFonts w:ascii="Calibri" w:cs="Calibri" w:eastAsia="Calibri" w:hAnsi="Calibri"/>
                <w:b/>
                <w:bCs/>
                <w:color w:val="7B5B00"/>
                <w:sz w:val="20"/>
                <w:szCs w:val="20"/>
              </w:rPr>
              <w:t xml:space="preserve">Business Impact:</w:t>
            </w:r>
          </w:p>
          <w:p>
            <w:pPr>
              <w:spacing w:after="0"/>
            </w:pPr>
            <w:r>
              <w:rPr>
                <w:rFonts w:ascii="Calibri" w:cs="Calibri" w:eastAsia="Calibri" w:hAnsi="Calibri"/>
                <w:i/>
                <w:iCs/>
                <w:color w:val="444444"/>
                <w:sz w:val="21"/>
                <w:szCs w:val="21"/>
              </w:rPr>
              <w:t xml:space="preserve">Financial dashboards must show internally consistent values. If a customer notices the total doesn’t match the parts, it destroys confidence in the platform’s accuracy. This could trigger customer complaints, audit findings, and regulatory scrutiny.</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7A00" w:sz="6"/>
              <w:left w:val="none" w:color="FFFFFF" w:sz="0"/>
              <w:bottom w:val="none" w:color="FFFFFF" w:sz="0"/>
              <w:right w:val="none" w:color="FFFFFF" w:sz="0"/>
            </w:tcBorders>
            <w:shd w:fill="FFF8EE" w:val="clear"/>
            <w:tcMar>
              <w:top w:type="dxa" w:w="120"/>
              <w:left w:type="dxa" w:w="160"/>
              <w:bottom w:type="dxa" w:w="40"/>
              <w:right w:type="dxa" w:w="160"/>
            </w:tcMar>
          </w:tcPr>
          <w:p>
            <w:pPr>
              <w:spacing w:after="60"/>
            </w:pPr>
            <w:r>
              <w:rPr>
                <w:rFonts w:ascii="Calibri" w:cs="Calibri" w:eastAsia="Calibri" w:hAnsi="Calibri"/>
                <w:b/>
                <w:bCs/>
                <w:color w:val="B87A00"/>
                <w:sz w:val="24"/>
                <w:szCs w:val="24"/>
              </w:rPr>
              <w:t xml:space="preserve">BUG-H2</w:t>
            </w:r>
            <w:r>
              <w:rPr>
                <w:rFonts w:ascii="Calibri" w:cs="Calibri" w:eastAsia="Calibri" w:hAnsi="Calibri"/>
                <w:color w:val="999999"/>
                <w:sz w:val="20"/>
                <w:szCs w:val="20"/>
              </w:rPr>
              <w:t xml:space="preserve">  |  </w:t>
            </w:r>
            <w:r>
              <w:rPr>
                <w:rFonts w:ascii="Calibri" w:cs="Calibri" w:eastAsia="Calibri" w:hAnsi="Calibri"/>
                <w:b/>
                <w:bCs/>
                <w:color w:val="B87A00"/>
                <w:sz w:val="18"/>
                <w:szCs w:val="18"/>
              </w:rPr>
              <w:t xml:space="preserve">HIGH</w:t>
            </w:r>
            <w:r>
              <w:rPr>
                <w:rFonts w:ascii="Calibri" w:cs="Calibri" w:eastAsia="Calibri" w:hAnsi="Calibri"/>
                <w:color w:val="999999"/>
                <w:sz w:val="20"/>
                <w:szCs w:val="20"/>
              </w:rPr>
              <w:t xml:space="preserve">  |  </w:t>
            </w:r>
            <w:r>
              <w:rPr>
                <w:rFonts w:ascii="Calibri" w:cs="Calibri" w:eastAsia="Calibri" w:hAnsi="Calibri"/>
                <w:color w:val="666666"/>
                <w:sz w:val="20"/>
                <w:szCs w:val="20"/>
              </w:rPr>
              <w:t xml:space="preserve">Page: </w:t>
            </w:r>
            <w:r>
              <w:rPr>
                <w:rFonts w:ascii="Calibri" w:cs="Calibri" w:eastAsia="Calibri" w:hAnsi="Calibri"/>
                <w:b/>
                <w:bCs/>
                <w:color w:val="333333"/>
                <w:sz w:val="20"/>
                <w:szCs w:val="20"/>
              </w:rPr>
              <w:t xml:space="preserve">Dashboard</w:t>
            </w:r>
          </w:p>
          <w:p>
            <w:pPr>
              <w:spacing w:after="100"/>
            </w:pPr>
            <w:r>
              <w:rPr>
                <w:rFonts w:ascii="Calibri" w:cs="Calibri" w:eastAsia="Calibri" w:hAnsi="Calibri"/>
                <w:b/>
                <w:bCs/>
                <w:color w:val="1A2744"/>
                <w:sz w:val="26"/>
                <w:szCs w:val="26"/>
              </w:rPr>
              <w:t xml:space="preserve">YTD Percentage Gain Is Inconsistent with Displayed Dollar Values</w:t>
            </w:r>
          </w:p>
        </w:tc>
      </w:tr>
      <w:tr>
        <w:tc>
          <w:tcPr>
            <w:tcW w:type="dxa" w:w="9360"/>
            <w:tcBorders>
              <w:top w:val="none" w:color="FFFFFF" w:sz="0"/>
              <w:left w:val="none" w:color="FFFFFF" w:sz="0"/>
              <w:bottom w:val="none" w:color="FFFFFF" w:sz="0"/>
              <w:right w:val="none" w:color="FFFFFF" w:sz="0"/>
            </w:tcBorders>
            <w:shd w:fill="FFF8EE" w:val="clear"/>
            <w:tcMar>
              <w:top w:type="dxa" w:w="40"/>
              <w:left w:type="dxa" w:w="160"/>
              <w:bottom w:type="dxa" w:w="40"/>
              <w:right w:type="dxa" w:w="160"/>
            </w:tcMar>
          </w:tcPr>
          <w:p>
            <w:pPr>
              <w:spacing w:after="40"/>
            </w:pPr>
            <w:r>
              <w:rPr>
                <w:rFonts w:ascii="Calibri" w:cs="Calibri" w:eastAsia="Calibri" w:hAnsi="Calibri"/>
                <w:b/>
                <w:bCs/>
                <w:color w:val="1A2744"/>
                <w:sz w:val="20"/>
                <w:szCs w:val="20"/>
              </w:rPr>
              <w:t xml:space="preserve">Steps to Reproduce:</w:t>
            </w:r>
          </w:p>
          <w:p>
            <w:pPr>
              <w:spacing w:after="80"/>
            </w:pPr>
            <w:r>
              <w:rPr>
                <w:rFonts w:ascii="Calibri" w:cs="Calibri" w:eastAsia="Calibri" w:hAnsi="Calibri"/>
                <w:color w:val="444444"/>
                <w:sz w:val="21"/>
                <w:szCs w:val="21"/>
              </w:rPr>
              <w:t xml:space="preserve">1. Navigate to the Dashboard page.
2. Look at the Equities stat card: shows $487,200 with "+12.4% YTD".
3. Calculate: if the current value is $487,200 and the YTD gain is 12.4%, the starting value was approximately $433,452.
4. The implied dollar gain is approximately $53,748, but no dollar gain is shown alongside the percentage for verification.</w:t>
            </w:r>
          </w:p>
        </w:tc>
      </w:tr>
      <w:tr>
        <w:tc>
          <w:tcPr>
            <w:tcW w:type="dxa" w:w="9360"/>
            <w:tcBorders>
              <w:top w:val="none" w:color="FFFFFF" w:sz="0"/>
              <w:left w:val="none" w:color="FFFFFF" w:sz="0"/>
              <w:bottom w:val="none" w:color="FFFFFF" w:sz="0"/>
              <w:right w:val="none" w:color="FFFFFF" w:sz="0"/>
            </w:tcBorders>
            <w:shd w:fill="FFF8EE" w:val="clear"/>
            <w:tcMar>
              <w:top w:type="dxa" w:w="40"/>
              <w:left w:type="dxa" w:w="160"/>
              <w:bottom w:type="dxa" w:w="40"/>
              <w:right w:type="dxa" w:w="160"/>
            </w:tcMar>
          </w:tcPr>
          <w:p>
            <w:pPr>
              <w:spacing w:after="40"/>
            </w:pPr>
            <w:r>
              <w:rPr>
                <w:rFonts w:ascii="Calibri" w:cs="Calibri" w:eastAsia="Calibri" w:hAnsi="Calibri"/>
                <w:b/>
                <w:bCs/>
                <w:color w:val="1B8A5A"/>
                <w:sz w:val="20"/>
                <w:szCs w:val="20"/>
              </w:rPr>
              <w:t xml:space="preserve">Expected Behavior:</w:t>
            </w:r>
          </w:p>
          <w:p>
            <w:pPr>
              <w:spacing w:after="80"/>
            </w:pPr>
            <w:r>
              <w:rPr>
                <w:rFonts w:ascii="Calibri" w:cs="Calibri" w:eastAsia="Calibri" w:hAnsi="Calibri"/>
                <w:color w:val="444444"/>
                <w:sz w:val="21"/>
                <w:szCs w:val="21"/>
              </w:rPr>
              <w:t xml:space="preserve">Both the percentage change and the corresponding dollar change should be displayed so users can verify the math. The figures should be mathematically consistent.</w:t>
            </w:r>
          </w:p>
          <w:p>
            <w:pPr>
              <w:spacing w:after="40"/>
            </w:pPr>
            <w:r>
              <w:rPr>
                <w:rFonts w:ascii="Calibri" w:cs="Calibri" w:eastAsia="Calibri" w:hAnsi="Calibri"/>
                <w:b/>
                <w:bCs/>
                <w:color w:val="C8102E"/>
                <w:sz w:val="20"/>
                <w:szCs w:val="20"/>
              </w:rPr>
              <w:t xml:space="preserve">Actual Behavior:</w:t>
            </w:r>
          </w:p>
          <w:p>
            <w:pPr>
              <w:spacing w:after="80"/>
            </w:pPr>
            <w:r>
              <w:rPr>
                <w:rFonts w:ascii="Calibri" w:cs="Calibri" w:eastAsia="Calibri" w:hAnsi="Calibri"/>
                <w:color w:val="444444"/>
                <w:sz w:val="21"/>
                <w:szCs w:val="21"/>
              </w:rPr>
              <w:t xml:space="preserve">Only the percentage is shown without the base value or dollar gain. The percentage cannot be independently verified from the displayed data, and the implied math does not reconcile with other figures in the dashboard.</w:t>
            </w:r>
          </w:p>
        </w:tc>
      </w:tr>
      <w:tr>
        <w:tc>
          <w:tcPr>
            <w:tcW w:type="dxa" w:w="9360"/>
            <w:tcBorders>
              <w:top w:val="none" w:color="FFFFFF" w:sz="0"/>
              <w:left w:val="none" w:color="FFFFFF" w:sz="0"/>
              <w:bottom w:val="single" w:color="DDDDDD" w:sz="1"/>
              <w:right w:val="none" w:color="FFFFFF" w:sz="0"/>
            </w:tcBorders>
            <w:shd w:fill="FFF8EE" w:val="clear"/>
            <w:tcMar>
              <w:top w:type="dxa" w:w="40"/>
              <w:left w:type="dxa" w:w="160"/>
              <w:bottom w:type="dxa" w:w="120"/>
              <w:right w:type="dxa" w:w="160"/>
            </w:tcMar>
          </w:tcPr>
          <w:p>
            <w:pPr>
              <w:spacing w:after="40"/>
            </w:pPr>
            <w:r>
              <w:rPr>
                <w:rFonts w:ascii="Calibri" w:cs="Calibri" w:eastAsia="Calibri" w:hAnsi="Calibri"/>
                <w:b/>
                <w:bCs/>
                <w:color w:val="7B5B00"/>
                <w:sz w:val="20"/>
                <w:szCs w:val="20"/>
              </w:rPr>
              <w:t xml:space="preserve">Business Impact:</w:t>
            </w:r>
          </w:p>
          <w:p>
            <w:pPr>
              <w:spacing w:after="0"/>
            </w:pPr>
            <w:r>
              <w:rPr>
                <w:rFonts w:ascii="Calibri" w:cs="Calibri" w:eastAsia="Calibri" w:hAnsi="Calibri"/>
                <w:i/>
                <w:iCs/>
                <w:color w:val="444444"/>
                <w:sz w:val="21"/>
                <w:szCs w:val="21"/>
              </w:rPr>
              <w:t xml:space="preserve">Financial interfaces should present verifiable data. Showing a percentage without the base creates an unauditable metric. If customers or advisors cannot cross-check the numbers, errors go undetected.</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7A00" w:sz="6"/>
              <w:left w:val="none" w:color="FFFFFF" w:sz="0"/>
              <w:bottom w:val="none" w:color="FFFFFF" w:sz="0"/>
              <w:right w:val="none" w:color="FFFFFF" w:sz="0"/>
            </w:tcBorders>
            <w:shd w:fill="FFF8EE" w:val="clear"/>
            <w:tcMar>
              <w:top w:type="dxa" w:w="120"/>
              <w:left w:type="dxa" w:w="160"/>
              <w:bottom w:type="dxa" w:w="40"/>
              <w:right w:type="dxa" w:w="160"/>
            </w:tcMar>
          </w:tcPr>
          <w:p>
            <w:pPr>
              <w:spacing w:after="60"/>
            </w:pPr>
            <w:r>
              <w:rPr>
                <w:rFonts w:ascii="Calibri" w:cs="Calibri" w:eastAsia="Calibri" w:hAnsi="Calibri"/>
                <w:b/>
                <w:bCs/>
                <w:color w:val="B87A00"/>
                <w:sz w:val="24"/>
                <w:szCs w:val="24"/>
              </w:rPr>
              <w:t xml:space="preserve">BUG-H3</w:t>
            </w:r>
            <w:r>
              <w:rPr>
                <w:rFonts w:ascii="Calibri" w:cs="Calibri" w:eastAsia="Calibri" w:hAnsi="Calibri"/>
                <w:color w:val="999999"/>
                <w:sz w:val="20"/>
                <w:szCs w:val="20"/>
              </w:rPr>
              <w:t xml:space="preserve">  |  </w:t>
            </w:r>
            <w:r>
              <w:rPr>
                <w:rFonts w:ascii="Calibri" w:cs="Calibri" w:eastAsia="Calibri" w:hAnsi="Calibri"/>
                <w:b/>
                <w:bCs/>
                <w:color w:val="B87A00"/>
                <w:sz w:val="18"/>
                <w:szCs w:val="18"/>
              </w:rPr>
              <w:t xml:space="preserve">HIGH</w:t>
            </w:r>
            <w:r>
              <w:rPr>
                <w:rFonts w:ascii="Calibri" w:cs="Calibri" w:eastAsia="Calibri" w:hAnsi="Calibri"/>
                <w:color w:val="999999"/>
                <w:sz w:val="20"/>
                <w:szCs w:val="20"/>
              </w:rPr>
              <w:t xml:space="preserve">  |  </w:t>
            </w:r>
            <w:r>
              <w:rPr>
                <w:rFonts w:ascii="Calibri" w:cs="Calibri" w:eastAsia="Calibri" w:hAnsi="Calibri"/>
                <w:color w:val="666666"/>
                <w:sz w:val="20"/>
                <w:szCs w:val="20"/>
              </w:rPr>
              <w:t xml:space="preserve">Page: </w:t>
            </w:r>
            <w:r>
              <w:rPr>
                <w:rFonts w:ascii="Calibri" w:cs="Calibri" w:eastAsia="Calibri" w:hAnsi="Calibri"/>
                <w:b/>
                <w:bCs/>
                <w:color w:val="333333"/>
                <w:sz w:val="20"/>
                <w:szCs w:val="20"/>
              </w:rPr>
              <w:t xml:space="preserve">Dashboard, Holdings, Payment History</w:t>
            </w:r>
          </w:p>
          <w:p>
            <w:pPr>
              <w:spacing w:after="100"/>
            </w:pPr>
            <w:r>
              <w:rPr>
                <w:rFonts w:ascii="Calibri" w:cs="Calibri" w:eastAsia="Calibri" w:hAnsi="Calibri"/>
                <w:b/>
                <w:bCs/>
                <w:color w:val="1A2744"/>
                <w:sz w:val="26"/>
                <w:szCs w:val="26"/>
              </w:rPr>
              <w:t xml:space="preserve">Three Different Date Formats Used Across the Application</w:t>
            </w:r>
          </w:p>
        </w:tc>
      </w:tr>
      <w:tr>
        <w:tc>
          <w:tcPr>
            <w:tcW w:type="dxa" w:w="9360"/>
            <w:tcBorders>
              <w:top w:val="none" w:color="FFFFFF" w:sz="0"/>
              <w:left w:val="none" w:color="FFFFFF" w:sz="0"/>
              <w:bottom w:val="none" w:color="FFFFFF" w:sz="0"/>
              <w:right w:val="none" w:color="FFFFFF" w:sz="0"/>
            </w:tcBorders>
            <w:shd w:fill="FFF8EE" w:val="clear"/>
            <w:tcMar>
              <w:top w:type="dxa" w:w="40"/>
              <w:left w:type="dxa" w:w="160"/>
              <w:bottom w:type="dxa" w:w="40"/>
              <w:right w:type="dxa" w:w="160"/>
            </w:tcMar>
          </w:tcPr>
          <w:p>
            <w:pPr>
              <w:spacing w:after="40"/>
            </w:pPr>
            <w:r>
              <w:rPr>
                <w:rFonts w:ascii="Calibri" w:cs="Calibri" w:eastAsia="Calibri" w:hAnsi="Calibri"/>
                <w:b/>
                <w:bCs/>
                <w:color w:val="1A2744"/>
                <w:sz w:val="20"/>
                <w:szCs w:val="20"/>
              </w:rPr>
              <w:t xml:space="preserve">Steps to Reproduce:</w:t>
            </w:r>
          </w:p>
          <w:p>
            <w:pPr>
              <w:spacing w:after="80"/>
            </w:pPr>
            <w:r>
              <w:rPr>
                <w:rFonts w:ascii="Calibri" w:cs="Calibri" w:eastAsia="Calibri" w:hAnsi="Calibri"/>
                <w:color w:val="444444"/>
                <w:sz w:val="21"/>
                <w:szCs w:val="21"/>
              </w:rPr>
              <w:t xml:space="preserve">1. Dashboard → Recent Transactions table: dates appear as "02-May-2026" (DD-Mon-YYYY).
2. Holdings → Purchase Date column: dates appear as "03/15/2024" (MM/DD/YYYY).
3. Payment History → Timeline entries: dates appear as "May 1, 2026" (Mon DD, YYYY).
4. Compare all three — each page uses a different format.</w:t>
            </w:r>
          </w:p>
        </w:tc>
      </w:tr>
      <w:tr>
        <w:tc>
          <w:tcPr>
            <w:tcW w:type="dxa" w:w="9360"/>
            <w:tcBorders>
              <w:top w:val="none" w:color="FFFFFF" w:sz="0"/>
              <w:left w:val="none" w:color="FFFFFF" w:sz="0"/>
              <w:bottom w:val="none" w:color="FFFFFF" w:sz="0"/>
              <w:right w:val="none" w:color="FFFFFF" w:sz="0"/>
            </w:tcBorders>
            <w:shd w:fill="FFF8EE" w:val="clear"/>
            <w:tcMar>
              <w:top w:type="dxa" w:w="40"/>
              <w:left w:type="dxa" w:w="160"/>
              <w:bottom w:type="dxa" w:w="40"/>
              <w:right w:type="dxa" w:w="160"/>
            </w:tcMar>
          </w:tcPr>
          <w:p>
            <w:pPr>
              <w:spacing w:after="40"/>
            </w:pPr>
            <w:r>
              <w:rPr>
                <w:rFonts w:ascii="Calibri" w:cs="Calibri" w:eastAsia="Calibri" w:hAnsi="Calibri"/>
                <w:b/>
                <w:bCs/>
                <w:color w:val="1B8A5A"/>
                <w:sz w:val="20"/>
                <w:szCs w:val="20"/>
              </w:rPr>
              <w:t xml:space="preserve">Expected Behavior:</w:t>
            </w:r>
          </w:p>
          <w:p>
            <w:pPr>
              <w:spacing w:after="80"/>
            </w:pPr>
            <w:r>
              <w:rPr>
                <w:rFonts w:ascii="Calibri" w:cs="Calibri" w:eastAsia="Calibri" w:hAnsi="Calibri"/>
                <w:color w:val="444444"/>
                <w:sz w:val="21"/>
                <w:szCs w:val="21"/>
              </w:rPr>
              <w:t xml:space="preserve">A single, consistent date format should be used throughout the entire application (e.g., "MMM DD, YYYY" or "MM/DD/YYYY").</w:t>
            </w:r>
          </w:p>
          <w:p>
            <w:pPr>
              <w:spacing w:after="40"/>
            </w:pPr>
            <w:r>
              <w:rPr>
                <w:rFonts w:ascii="Calibri" w:cs="Calibri" w:eastAsia="Calibri" w:hAnsi="Calibri"/>
                <w:b/>
                <w:bCs/>
                <w:color w:val="C8102E"/>
                <w:sz w:val="20"/>
                <w:szCs w:val="20"/>
              </w:rPr>
              <w:t xml:space="preserve">Actual Behavior:</w:t>
            </w:r>
          </w:p>
          <w:p>
            <w:pPr>
              <w:spacing w:after="80"/>
            </w:pPr>
            <w:r>
              <w:rPr>
                <w:rFonts w:ascii="Calibri" w:cs="Calibri" w:eastAsia="Calibri" w:hAnsi="Calibri"/>
                <w:color w:val="444444"/>
                <w:sz w:val="21"/>
                <w:szCs w:val="21"/>
              </w:rPr>
              <w:t xml:space="preserve">Three different date formats are used across three different pages: DD-Mon-YYYY, MM/DD/YYYY, and Mon DD, YYYY.</w:t>
            </w:r>
          </w:p>
        </w:tc>
      </w:tr>
      <w:tr>
        <w:tc>
          <w:tcPr>
            <w:tcW w:type="dxa" w:w="9360"/>
            <w:tcBorders>
              <w:top w:val="none" w:color="FFFFFF" w:sz="0"/>
              <w:left w:val="none" w:color="FFFFFF" w:sz="0"/>
              <w:bottom w:val="single" w:color="DDDDDD" w:sz="1"/>
              <w:right w:val="none" w:color="FFFFFF" w:sz="0"/>
            </w:tcBorders>
            <w:shd w:fill="FFF8EE" w:val="clear"/>
            <w:tcMar>
              <w:top w:type="dxa" w:w="40"/>
              <w:left w:type="dxa" w:w="160"/>
              <w:bottom w:type="dxa" w:w="120"/>
              <w:right w:type="dxa" w:w="160"/>
            </w:tcMar>
          </w:tcPr>
          <w:p>
            <w:pPr>
              <w:spacing w:after="40"/>
            </w:pPr>
            <w:r>
              <w:rPr>
                <w:rFonts w:ascii="Calibri" w:cs="Calibri" w:eastAsia="Calibri" w:hAnsi="Calibri"/>
                <w:b/>
                <w:bCs/>
                <w:color w:val="7B5B00"/>
                <w:sz w:val="20"/>
                <w:szCs w:val="20"/>
              </w:rPr>
              <w:t xml:space="preserve">Business Impact:</w:t>
            </w:r>
          </w:p>
          <w:p>
            <w:pPr>
              <w:spacing w:after="0"/>
            </w:pPr>
            <w:r>
              <w:rPr>
                <w:rFonts w:ascii="Calibri" w:cs="Calibri" w:eastAsia="Calibri" w:hAnsi="Calibri"/>
                <w:i/>
                <w:iCs/>
                <w:color w:val="444444"/>
                <w:sz w:val="21"/>
                <w:szCs w:val="21"/>
              </w:rPr>
              <w:t xml:space="preserve">Inconsistent date formats confuse users, complicate audit trails, and suggest poor development standards. In a regulated banking environment, date consistency is expected in both internal systems and customer-facing interfaces.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7A00" w:sz="6"/>
              <w:left w:val="none" w:color="FFFFFF" w:sz="0"/>
              <w:bottom w:val="none" w:color="FFFFFF" w:sz="0"/>
              <w:right w:val="none" w:color="FFFFFF" w:sz="0"/>
            </w:tcBorders>
            <w:shd w:fill="FFF8EE" w:val="clear"/>
            <w:tcMar>
              <w:top w:type="dxa" w:w="120"/>
              <w:left w:type="dxa" w:w="160"/>
              <w:bottom w:type="dxa" w:w="40"/>
              <w:right w:type="dxa" w:w="160"/>
            </w:tcMar>
          </w:tcPr>
          <w:p>
            <w:pPr>
              <w:spacing w:after="60"/>
            </w:pPr>
            <w:r>
              <w:rPr>
                <w:rFonts w:ascii="Calibri" w:cs="Calibri" w:eastAsia="Calibri" w:hAnsi="Calibri"/>
                <w:b/>
                <w:bCs/>
                <w:color w:val="B87A00"/>
                <w:sz w:val="24"/>
                <w:szCs w:val="24"/>
              </w:rPr>
              <w:t xml:space="preserve">BUG-H4</w:t>
            </w:r>
            <w:r>
              <w:rPr>
                <w:rFonts w:ascii="Calibri" w:cs="Calibri" w:eastAsia="Calibri" w:hAnsi="Calibri"/>
                <w:color w:val="999999"/>
                <w:sz w:val="20"/>
                <w:szCs w:val="20"/>
              </w:rPr>
              <w:t xml:space="preserve">  |  </w:t>
            </w:r>
            <w:r>
              <w:rPr>
                <w:rFonts w:ascii="Calibri" w:cs="Calibri" w:eastAsia="Calibri" w:hAnsi="Calibri"/>
                <w:b/>
                <w:bCs/>
                <w:color w:val="B87A00"/>
                <w:sz w:val="18"/>
                <w:szCs w:val="18"/>
              </w:rPr>
              <w:t xml:space="preserve">HIGH</w:t>
            </w:r>
            <w:r>
              <w:rPr>
                <w:rFonts w:ascii="Calibri" w:cs="Calibri" w:eastAsia="Calibri" w:hAnsi="Calibri"/>
                <w:color w:val="999999"/>
                <w:sz w:val="20"/>
                <w:szCs w:val="20"/>
              </w:rPr>
              <w:t xml:space="preserve">  |  </w:t>
            </w:r>
            <w:r>
              <w:rPr>
                <w:rFonts w:ascii="Calibri" w:cs="Calibri" w:eastAsia="Calibri" w:hAnsi="Calibri"/>
                <w:color w:val="666666"/>
                <w:sz w:val="20"/>
                <w:szCs w:val="20"/>
              </w:rPr>
              <w:t xml:space="preserve">Page: </w:t>
            </w:r>
            <w:r>
              <w:rPr>
                <w:rFonts w:ascii="Calibri" w:cs="Calibri" w:eastAsia="Calibri" w:hAnsi="Calibri"/>
                <w:b/>
                <w:bCs/>
                <w:color w:val="333333"/>
                <w:sz w:val="20"/>
                <w:szCs w:val="20"/>
              </w:rPr>
              <w:t xml:space="preserve">Fund Transfer</w:t>
            </w:r>
          </w:p>
          <w:p>
            <w:pPr>
              <w:spacing w:after="100"/>
            </w:pPr>
            <w:r>
              <w:rPr>
                <w:rFonts w:ascii="Calibri" w:cs="Calibri" w:eastAsia="Calibri" w:hAnsi="Calibri"/>
                <w:b/>
                <w:bCs/>
                <w:color w:val="1A2744"/>
                <w:sz w:val="26"/>
                <w:szCs w:val="26"/>
              </w:rPr>
              <w:t xml:space="preserve">Wire Transfer Fee Not Disclosed Before Confirmation</w:t>
            </w:r>
          </w:p>
        </w:tc>
      </w:tr>
      <w:tr>
        <w:tc>
          <w:tcPr>
            <w:tcW w:type="dxa" w:w="9360"/>
            <w:tcBorders>
              <w:top w:val="none" w:color="FFFFFF" w:sz="0"/>
              <w:left w:val="none" w:color="FFFFFF" w:sz="0"/>
              <w:bottom w:val="none" w:color="FFFFFF" w:sz="0"/>
              <w:right w:val="none" w:color="FFFFFF" w:sz="0"/>
            </w:tcBorders>
            <w:shd w:fill="FFF8EE" w:val="clear"/>
            <w:tcMar>
              <w:top w:type="dxa" w:w="40"/>
              <w:left w:type="dxa" w:w="160"/>
              <w:bottom w:type="dxa" w:w="40"/>
              <w:right w:type="dxa" w:w="160"/>
            </w:tcMar>
          </w:tcPr>
          <w:p>
            <w:pPr>
              <w:spacing w:after="40"/>
            </w:pPr>
            <w:r>
              <w:rPr>
                <w:rFonts w:ascii="Calibri" w:cs="Calibri" w:eastAsia="Calibri" w:hAnsi="Calibri"/>
                <w:b/>
                <w:bCs/>
                <w:color w:val="1A2744"/>
                <w:sz w:val="20"/>
                <w:szCs w:val="20"/>
              </w:rPr>
              <w:t xml:space="preserve">Steps to Reproduce:</w:t>
            </w:r>
          </w:p>
          <w:p>
            <w:pPr>
              <w:spacing w:after="80"/>
            </w:pPr>
            <w:r>
              <w:rPr>
                <w:rFonts w:ascii="Calibri" w:cs="Calibri" w:eastAsia="Calibri" w:hAnsi="Calibri"/>
                <w:color w:val="444444"/>
                <w:sz w:val="21"/>
                <w:szCs w:val="21"/>
              </w:rPr>
              <w:t xml:space="preserve">1. Navigate to Fund Transfer page.
2. Open the Transfer Type dropdown.
3. Observe: "ACH Transfer (Free)" and "Internal Transfer (Free)" both show explicit fee labels.
4. "Wire Transfer" shows NO fee information.</w:t>
            </w:r>
          </w:p>
        </w:tc>
      </w:tr>
      <w:tr>
        <w:tc>
          <w:tcPr>
            <w:tcW w:type="dxa" w:w="9360"/>
            <w:tcBorders>
              <w:top w:val="none" w:color="FFFFFF" w:sz="0"/>
              <w:left w:val="none" w:color="FFFFFF" w:sz="0"/>
              <w:bottom w:val="none" w:color="FFFFFF" w:sz="0"/>
              <w:right w:val="none" w:color="FFFFFF" w:sz="0"/>
            </w:tcBorders>
            <w:shd w:fill="FFF8EE" w:val="clear"/>
            <w:tcMar>
              <w:top w:type="dxa" w:w="40"/>
              <w:left w:type="dxa" w:w="160"/>
              <w:bottom w:type="dxa" w:w="40"/>
              <w:right w:type="dxa" w:w="160"/>
            </w:tcMar>
          </w:tcPr>
          <w:p>
            <w:pPr>
              <w:spacing w:after="40"/>
            </w:pPr>
            <w:r>
              <w:rPr>
                <w:rFonts w:ascii="Calibri" w:cs="Calibri" w:eastAsia="Calibri" w:hAnsi="Calibri"/>
                <w:b/>
                <w:bCs/>
                <w:color w:val="1B8A5A"/>
                <w:sz w:val="20"/>
                <w:szCs w:val="20"/>
              </w:rPr>
              <w:t xml:space="preserve">Expected Behavior:</w:t>
            </w:r>
          </w:p>
          <w:p>
            <w:pPr>
              <w:spacing w:after="80"/>
            </w:pPr>
            <w:r>
              <w:rPr>
                <w:rFonts w:ascii="Calibri" w:cs="Calibri" w:eastAsia="Calibri" w:hAnsi="Calibri"/>
                <w:color w:val="444444"/>
                <w:sz w:val="21"/>
                <w:szCs w:val="21"/>
              </w:rPr>
              <w:t xml:space="preserve">Wire Transfer should display its associated fee (e.g., "Wire Transfer ($25 fee)") since wire transfers universally carry fees in banking ($15–$45 typical range).</w:t>
            </w:r>
          </w:p>
          <w:p>
            <w:pPr>
              <w:spacing w:after="40"/>
            </w:pPr>
            <w:r>
              <w:rPr>
                <w:rFonts w:ascii="Calibri" w:cs="Calibri" w:eastAsia="Calibri" w:hAnsi="Calibri"/>
                <w:b/>
                <w:bCs/>
                <w:color w:val="C8102E"/>
                <w:sz w:val="20"/>
                <w:szCs w:val="20"/>
              </w:rPr>
              <w:t xml:space="preserve">Actual Behavior:</w:t>
            </w:r>
          </w:p>
          <w:p>
            <w:pPr>
              <w:spacing w:after="80"/>
            </w:pPr>
            <w:r>
              <w:rPr>
                <w:rFonts w:ascii="Calibri" w:cs="Calibri" w:eastAsia="Calibri" w:hAnsi="Calibri"/>
                <w:color w:val="444444"/>
                <w:sz w:val="21"/>
                <w:szCs w:val="21"/>
              </w:rPr>
              <w:t xml:space="preserve">The Wire Transfer option shows no fee information whatsoever, while the other two options explicitly state "(Free)". The omission implies it might also be free, which is misleading.</w:t>
            </w:r>
          </w:p>
        </w:tc>
      </w:tr>
      <w:tr>
        <w:tc>
          <w:tcPr>
            <w:tcW w:type="dxa" w:w="9360"/>
            <w:tcBorders>
              <w:top w:val="none" w:color="FFFFFF" w:sz="0"/>
              <w:left w:val="none" w:color="FFFFFF" w:sz="0"/>
              <w:bottom w:val="single" w:color="DDDDDD" w:sz="1"/>
              <w:right w:val="none" w:color="FFFFFF" w:sz="0"/>
            </w:tcBorders>
            <w:shd w:fill="FFF8EE" w:val="clear"/>
            <w:tcMar>
              <w:top w:type="dxa" w:w="40"/>
              <w:left w:type="dxa" w:w="160"/>
              <w:bottom w:type="dxa" w:w="120"/>
              <w:right w:type="dxa" w:w="160"/>
            </w:tcMar>
          </w:tcPr>
          <w:p>
            <w:pPr>
              <w:spacing w:after="40"/>
            </w:pPr>
            <w:r>
              <w:rPr>
                <w:rFonts w:ascii="Calibri" w:cs="Calibri" w:eastAsia="Calibri" w:hAnsi="Calibri"/>
                <w:b/>
                <w:bCs/>
                <w:color w:val="7B5B00"/>
                <w:sz w:val="20"/>
                <w:szCs w:val="20"/>
              </w:rPr>
              <w:t xml:space="preserve">Business Impact:</w:t>
            </w:r>
          </w:p>
          <w:p>
            <w:pPr>
              <w:spacing w:after="0"/>
            </w:pPr>
            <w:r>
              <w:rPr>
                <w:rFonts w:ascii="Calibri" w:cs="Calibri" w:eastAsia="Calibri" w:hAnsi="Calibri"/>
                <w:i/>
                <w:iCs/>
                <w:color w:val="444444"/>
                <w:sz w:val="21"/>
                <w:szCs w:val="21"/>
              </w:rPr>
              <w:t xml:space="preserve">Banking regulations (Regulation E, CFPB guidelines) require fee disclosure before transaction confirmation. Failing to disclose wire transfer fees is a compliance gap that could result in regulatory action and customer disputes.</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7A00" w:sz="6"/>
              <w:left w:val="none" w:color="FFFFFF" w:sz="0"/>
              <w:bottom w:val="none" w:color="FFFFFF" w:sz="0"/>
              <w:right w:val="none" w:color="FFFFFF" w:sz="0"/>
            </w:tcBorders>
            <w:shd w:fill="FFF8EE" w:val="clear"/>
            <w:tcMar>
              <w:top w:type="dxa" w:w="120"/>
              <w:left w:type="dxa" w:w="160"/>
              <w:bottom w:type="dxa" w:w="40"/>
              <w:right w:type="dxa" w:w="160"/>
            </w:tcMar>
          </w:tcPr>
          <w:p>
            <w:pPr>
              <w:spacing w:after="60"/>
            </w:pPr>
            <w:r>
              <w:rPr>
                <w:rFonts w:ascii="Calibri" w:cs="Calibri" w:eastAsia="Calibri" w:hAnsi="Calibri"/>
                <w:b/>
                <w:bCs/>
                <w:color w:val="B87A00"/>
                <w:sz w:val="24"/>
                <w:szCs w:val="24"/>
              </w:rPr>
              <w:t xml:space="preserve">BUG-H5</w:t>
            </w:r>
            <w:r>
              <w:rPr>
                <w:rFonts w:ascii="Calibri" w:cs="Calibri" w:eastAsia="Calibri" w:hAnsi="Calibri"/>
                <w:color w:val="999999"/>
                <w:sz w:val="20"/>
                <w:szCs w:val="20"/>
              </w:rPr>
              <w:t xml:space="preserve">  |  </w:t>
            </w:r>
            <w:r>
              <w:rPr>
                <w:rFonts w:ascii="Calibri" w:cs="Calibri" w:eastAsia="Calibri" w:hAnsi="Calibri"/>
                <w:b/>
                <w:bCs/>
                <w:color w:val="B87A00"/>
                <w:sz w:val="18"/>
                <w:szCs w:val="18"/>
              </w:rPr>
              <w:t xml:space="preserve">HIGH</w:t>
            </w:r>
            <w:r>
              <w:rPr>
                <w:rFonts w:ascii="Calibri" w:cs="Calibri" w:eastAsia="Calibri" w:hAnsi="Calibri"/>
                <w:color w:val="999999"/>
                <w:sz w:val="20"/>
                <w:szCs w:val="20"/>
              </w:rPr>
              <w:t xml:space="preserve">  |  </w:t>
            </w:r>
            <w:r>
              <w:rPr>
                <w:rFonts w:ascii="Calibri" w:cs="Calibri" w:eastAsia="Calibri" w:hAnsi="Calibri"/>
                <w:color w:val="666666"/>
                <w:sz w:val="20"/>
                <w:szCs w:val="20"/>
              </w:rPr>
              <w:t xml:space="preserve">Page: </w:t>
            </w:r>
            <w:r>
              <w:rPr>
                <w:rFonts w:ascii="Calibri" w:cs="Calibri" w:eastAsia="Calibri" w:hAnsi="Calibri"/>
                <w:b/>
                <w:bCs/>
                <w:color w:val="333333"/>
                <w:sz w:val="20"/>
                <w:szCs w:val="20"/>
              </w:rPr>
              <w:t xml:space="preserve">Bill Payment</w:t>
            </w:r>
          </w:p>
          <w:p>
            <w:pPr>
              <w:spacing w:after="100"/>
            </w:pPr>
            <w:r>
              <w:rPr>
                <w:rFonts w:ascii="Calibri" w:cs="Calibri" w:eastAsia="Calibri" w:hAnsi="Calibri"/>
                <w:b/>
                <w:bCs/>
                <w:color w:val="1A2744"/>
                <w:sz w:val="26"/>
                <w:szCs w:val="26"/>
              </w:rPr>
              <w:t xml:space="preserve">Past-Due Bill Displays Status as “Pending” Instead of “Overdue”</w:t>
            </w:r>
          </w:p>
        </w:tc>
      </w:tr>
      <w:tr>
        <w:tc>
          <w:tcPr>
            <w:tcW w:type="dxa" w:w="9360"/>
            <w:tcBorders>
              <w:top w:val="none" w:color="FFFFFF" w:sz="0"/>
              <w:left w:val="none" w:color="FFFFFF" w:sz="0"/>
              <w:bottom w:val="none" w:color="FFFFFF" w:sz="0"/>
              <w:right w:val="none" w:color="FFFFFF" w:sz="0"/>
            </w:tcBorders>
            <w:shd w:fill="FFF8EE" w:val="clear"/>
            <w:tcMar>
              <w:top w:type="dxa" w:w="40"/>
              <w:left w:type="dxa" w:w="160"/>
              <w:bottom w:type="dxa" w:w="40"/>
              <w:right w:type="dxa" w:w="160"/>
            </w:tcMar>
          </w:tcPr>
          <w:p>
            <w:pPr>
              <w:spacing w:after="40"/>
            </w:pPr>
            <w:r>
              <w:rPr>
                <w:rFonts w:ascii="Calibri" w:cs="Calibri" w:eastAsia="Calibri" w:hAnsi="Calibri"/>
                <w:b/>
                <w:bCs/>
                <w:color w:val="1A2744"/>
                <w:sz w:val="20"/>
                <w:szCs w:val="20"/>
              </w:rPr>
              <w:t xml:space="preserve">Steps to Reproduce:</w:t>
            </w:r>
          </w:p>
          <w:p>
            <w:pPr>
              <w:spacing w:after="80"/>
            </w:pPr>
            <w:r>
              <w:rPr>
                <w:rFonts w:ascii="Calibri" w:cs="Calibri" w:eastAsia="Calibri" w:hAnsi="Calibri"/>
                <w:color w:val="444444"/>
                <w:sz w:val="21"/>
                <w:szCs w:val="21"/>
              </w:rPr>
              <w:t xml:space="preserve">1. Navigate to Bill Payment page.
2. Look at the Upcoming Bills table, first row: American Express - Platinum Card.
3. Due Date: "Jan 15, 2026".
4. Current date context: May 2026.
5. Status shows: "Pending" (yellow badge).</w:t>
            </w:r>
          </w:p>
        </w:tc>
      </w:tr>
      <w:tr>
        <w:tc>
          <w:tcPr>
            <w:tcW w:type="dxa" w:w="9360"/>
            <w:tcBorders>
              <w:top w:val="none" w:color="FFFFFF" w:sz="0"/>
              <w:left w:val="none" w:color="FFFFFF" w:sz="0"/>
              <w:bottom w:val="none" w:color="FFFFFF" w:sz="0"/>
              <w:right w:val="none" w:color="FFFFFF" w:sz="0"/>
            </w:tcBorders>
            <w:shd w:fill="FFF8EE" w:val="clear"/>
            <w:tcMar>
              <w:top w:type="dxa" w:w="40"/>
              <w:left w:type="dxa" w:w="160"/>
              <w:bottom w:type="dxa" w:w="40"/>
              <w:right w:type="dxa" w:w="160"/>
            </w:tcMar>
          </w:tcPr>
          <w:p>
            <w:pPr>
              <w:spacing w:after="40"/>
            </w:pPr>
            <w:r>
              <w:rPr>
                <w:rFonts w:ascii="Calibri" w:cs="Calibri" w:eastAsia="Calibri" w:hAnsi="Calibri"/>
                <w:b/>
                <w:bCs/>
                <w:color w:val="1B8A5A"/>
                <w:sz w:val="20"/>
                <w:szCs w:val="20"/>
              </w:rPr>
              <w:t xml:space="preserve">Expected Behavior:</w:t>
            </w:r>
          </w:p>
          <w:p>
            <w:pPr>
              <w:spacing w:after="80"/>
            </w:pPr>
            <w:r>
              <w:rPr>
                <w:rFonts w:ascii="Calibri" w:cs="Calibri" w:eastAsia="Calibri" w:hAnsi="Calibri"/>
                <w:color w:val="444444"/>
                <w:sz w:val="21"/>
                <w:szCs w:val="21"/>
              </w:rPr>
              <w:t xml:space="preserve">Since the due date (Jan 15, 2026) has passed by over 3 months, the status should display "Overdue" with a red badge.</w:t>
            </w:r>
          </w:p>
          <w:p>
            <w:pPr>
              <w:spacing w:after="40"/>
            </w:pPr>
            <w:r>
              <w:rPr>
                <w:rFonts w:ascii="Calibri" w:cs="Calibri" w:eastAsia="Calibri" w:hAnsi="Calibri"/>
                <w:b/>
                <w:bCs/>
                <w:color w:val="C8102E"/>
                <w:sz w:val="20"/>
                <w:szCs w:val="20"/>
              </w:rPr>
              <w:t xml:space="preserve">Actual Behavior:</w:t>
            </w:r>
          </w:p>
          <w:p>
            <w:pPr>
              <w:spacing w:after="80"/>
            </w:pPr>
            <w:r>
              <w:rPr>
                <w:rFonts w:ascii="Calibri" w:cs="Calibri" w:eastAsia="Calibri" w:hAnsi="Calibri"/>
                <w:color w:val="444444"/>
                <w:sz w:val="21"/>
                <w:szCs w:val="21"/>
              </w:rPr>
              <w:t xml:space="preserve">The status displays "Pending" (yellow badge) even though the bill is over 3 months past its due date. There is no indication that the payment is late.</w:t>
            </w:r>
          </w:p>
        </w:tc>
      </w:tr>
      <w:tr>
        <w:tc>
          <w:tcPr>
            <w:tcW w:type="dxa" w:w="9360"/>
            <w:tcBorders>
              <w:top w:val="none" w:color="FFFFFF" w:sz="0"/>
              <w:left w:val="none" w:color="FFFFFF" w:sz="0"/>
              <w:bottom w:val="single" w:color="DDDDDD" w:sz="1"/>
              <w:right w:val="none" w:color="FFFFFF" w:sz="0"/>
            </w:tcBorders>
            <w:shd w:fill="FFF8EE" w:val="clear"/>
            <w:tcMar>
              <w:top w:type="dxa" w:w="40"/>
              <w:left w:type="dxa" w:w="160"/>
              <w:bottom w:type="dxa" w:w="120"/>
              <w:right w:type="dxa" w:w="160"/>
            </w:tcMar>
          </w:tcPr>
          <w:p>
            <w:pPr>
              <w:spacing w:after="40"/>
            </w:pPr>
            <w:r>
              <w:rPr>
                <w:rFonts w:ascii="Calibri" w:cs="Calibri" w:eastAsia="Calibri" w:hAnsi="Calibri"/>
                <w:b/>
                <w:bCs/>
                <w:color w:val="7B5B00"/>
                <w:sz w:val="20"/>
                <w:szCs w:val="20"/>
              </w:rPr>
              <w:t xml:space="preserve">Business Impact:</w:t>
            </w:r>
          </w:p>
          <w:p>
            <w:pPr>
              <w:spacing w:after="0"/>
            </w:pPr>
            <w:r>
              <w:rPr>
                <w:rFonts w:ascii="Calibri" w:cs="Calibri" w:eastAsia="Calibri" w:hAnsi="Calibri"/>
                <w:i/>
                <w:iCs/>
                <w:color w:val="444444"/>
                <w:sz w:val="21"/>
                <w:szCs w:val="21"/>
              </w:rPr>
              <w:t xml:space="preserve">Displaying stale status for overdue bills could cause customers to deprioritize urgent payments, resulting in late fees, interest charges, and credit score damage. The system should automatically flag overdue items.</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7A00" w:sz="6"/>
              <w:left w:val="none" w:color="FFFFFF" w:sz="0"/>
              <w:bottom w:val="none" w:color="FFFFFF" w:sz="0"/>
              <w:right w:val="none" w:color="FFFFFF" w:sz="0"/>
            </w:tcBorders>
            <w:shd w:fill="FFF8EE" w:val="clear"/>
            <w:tcMar>
              <w:top w:type="dxa" w:w="120"/>
              <w:left w:type="dxa" w:w="160"/>
              <w:bottom w:type="dxa" w:w="40"/>
              <w:right w:type="dxa" w:w="160"/>
            </w:tcMar>
          </w:tcPr>
          <w:p>
            <w:pPr>
              <w:spacing w:after="60"/>
            </w:pPr>
            <w:r>
              <w:rPr>
                <w:rFonts w:ascii="Calibri" w:cs="Calibri" w:eastAsia="Calibri" w:hAnsi="Calibri"/>
                <w:b/>
                <w:bCs/>
                <w:color w:val="B87A00"/>
                <w:sz w:val="24"/>
                <w:szCs w:val="24"/>
              </w:rPr>
              <w:t xml:space="preserve">BUG-H6</w:t>
            </w:r>
            <w:r>
              <w:rPr>
                <w:rFonts w:ascii="Calibri" w:cs="Calibri" w:eastAsia="Calibri" w:hAnsi="Calibri"/>
                <w:color w:val="999999"/>
                <w:sz w:val="20"/>
                <w:szCs w:val="20"/>
              </w:rPr>
              <w:t xml:space="preserve">  |  </w:t>
            </w:r>
            <w:r>
              <w:rPr>
                <w:rFonts w:ascii="Calibri" w:cs="Calibri" w:eastAsia="Calibri" w:hAnsi="Calibri"/>
                <w:b/>
                <w:bCs/>
                <w:color w:val="B87A00"/>
                <w:sz w:val="18"/>
                <w:szCs w:val="18"/>
              </w:rPr>
              <w:t xml:space="preserve">HIGH</w:t>
            </w:r>
            <w:r>
              <w:rPr>
                <w:rFonts w:ascii="Calibri" w:cs="Calibri" w:eastAsia="Calibri" w:hAnsi="Calibri"/>
                <w:color w:val="999999"/>
                <w:sz w:val="20"/>
                <w:szCs w:val="20"/>
              </w:rPr>
              <w:t xml:space="preserve">  |  </w:t>
            </w:r>
            <w:r>
              <w:rPr>
                <w:rFonts w:ascii="Calibri" w:cs="Calibri" w:eastAsia="Calibri" w:hAnsi="Calibri"/>
                <w:color w:val="666666"/>
                <w:sz w:val="20"/>
                <w:szCs w:val="20"/>
              </w:rPr>
              <w:t xml:space="preserve">Page: </w:t>
            </w:r>
            <w:r>
              <w:rPr>
                <w:rFonts w:ascii="Calibri" w:cs="Calibri" w:eastAsia="Calibri" w:hAnsi="Calibri"/>
                <w:b/>
                <w:bCs/>
                <w:color w:val="333333"/>
                <w:sz w:val="20"/>
                <w:szCs w:val="20"/>
              </w:rPr>
              <w:t xml:space="preserve">Holdings</w:t>
            </w:r>
          </w:p>
          <w:p>
            <w:pPr>
              <w:spacing w:after="100"/>
            </w:pPr>
            <w:r>
              <w:rPr>
                <w:rFonts w:ascii="Calibri" w:cs="Calibri" w:eastAsia="Calibri" w:hAnsi="Calibri"/>
                <w:b/>
                <w:bCs/>
                <w:color w:val="1A2744"/>
                <w:sz w:val="26"/>
                <w:szCs w:val="26"/>
              </w:rPr>
              <w:t xml:space="preserve">Holdings Table Value Column Sort Is Alphabetical Instead of Numerical</w:t>
            </w:r>
          </w:p>
        </w:tc>
      </w:tr>
      <w:tr>
        <w:tc>
          <w:tcPr>
            <w:tcW w:type="dxa" w:w="9360"/>
            <w:tcBorders>
              <w:top w:val="none" w:color="FFFFFF" w:sz="0"/>
              <w:left w:val="none" w:color="FFFFFF" w:sz="0"/>
              <w:bottom w:val="none" w:color="FFFFFF" w:sz="0"/>
              <w:right w:val="none" w:color="FFFFFF" w:sz="0"/>
            </w:tcBorders>
            <w:shd w:fill="FFF8EE" w:val="clear"/>
            <w:tcMar>
              <w:top w:type="dxa" w:w="40"/>
              <w:left w:type="dxa" w:w="160"/>
              <w:bottom w:type="dxa" w:w="40"/>
              <w:right w:type="dxa" w:w="160"/>
            </w:tcMar>
          </w:tcPr>
          <w:p>
            <w:pPr>
              <w:spacing w:after="40"/>
            </w:pPr>
            <w:r>
              <w:rPr>
                <w:rFonts w:ascii="Calibri" w:cs="Calibri" w:eastAsia="Calibri" w:hAnsi="Calibri"/>
                <w:b/>
                <w:bCs/>
                <w:color w:val="1A2744"/>
                <w:sz w:val="20"/>
                <w:szCs w:val="20"/>
              </w:rPr>
              <w:t xml:space="preserve">Steps to Reproduce:</w:t>
            </w:r>
          </w:p>
          <w:p>
            <w:pPr>
              <w:spacing w:after="80"/>
            </w:pPr>
            <w:r>
              <w:rPr>
                <w:rFonts w:ascii="Calibri" w:cs="Calibri" w:eastAsia="Calibri" w:hAnsi="Calibri"/>
                <w:color w:val="444444"/>
                <w:sz w:val="21"/>
                <w:szCs w:val="21"/>
              </w:rPr>
              <w:t xml:space="preserve">1. Navigate to Holdings page.
2. Click the "Value ⇅" column header to sort.
3. Observe the resulting order of the Value column.
4. Click again to reverse sort and check again.</w:t>
            </w:r>
          </w:p>
        </w:tc>
      </w:tr>
      <w:tr>
        <w:tc>
          <w:tcPr>
            <w:tcW w:type="dxa" w:w="9360"/>
            <w:tcBorders>
              <w:top w:val="none" w:color="FFFFFF" w:sz="0"/>
              <w:left w:val="none" w:color="FFFFFF" w:sz="0"/>
              <w:bottom w:val="none" w:color="FFFFFF" w:sz="0"/>
              <w:right w:val="none" w:color="FFFFFF" w:sz="0"/>
            </w:tcBorders>
            <w:shd w:fill="FFF8EE" w:val="clear"/>
            <w:tcMar>
              <w:top w:type="dxa" w:w="40"/>
              <w:left w:type="dxa" w:w="160"/>
              <w:bottom w:type="dxa" w:w="40"/>
              <w:right w:type="dxa" w:w="160"/>
            </w:tcMar>
          </w:tcPr>
          <w:p>
            <w:pPr>
              <w:spacing w:after="40"/>
            </w:pPr>
            <w:r>
              <w:rPr>
                <w:rFonts w:ascii="Calibri" w:cs="Calibri" w:eastAsia="Calibri" w:hAnsi="Calibri"/>
                <w:b/>
                <w:bCs/>
                <w:color w:val="1B8A5A"/>
                <w:sz w:val="20"/>
                <w:szCs w:val="20"/>
              </w:rPr>
              <w:t xml:space="preserve">Expected Behavior:</w:t>
            </w:r>
          </w:p>
          <w:p>
            <w:pPr>
              <w:spacing w:after="80"/>
            </w:pPr>
            <w:r>
              <w:rPr>
                <w:rFonts w:ascii="Calibri" w:cs="Calibri" w:eastAsia="Calibri" w:hAnsi="Calibri"/>
                <w:color w:val="444444"/>
                <w:sz w:val="21"/>
                <w:szCs w:val="21"/>
              </w:rPr>
              <w:t xml:space="preserve">Holdings should sort by numeric value (e.g., $127,650 &lt; $129,200 &lt; $142,600 &lt; $185,200 &lt; $198,400 &lt; $215,400).</w:t>
            </w:r>
          </w:p>
          <w:p>
            <w:pPr>
              <w:spacing w:after="40"/>
            </w:pPr>
            <w:r>
              <w:rPr>
                <w:rFonts w:ascii="Calibri" w:cs="Calibri" w:eastAsia="Calibri" w:hAnsi="Calibri"/>
                <w:b/>
                <w:bCs/>
                <w:color w:val="C8102E"/>
                <w:sz w:val="20"/>
                <w:szCs w:val="20"/>
              </w:rPr>
              <w:t xml:space="preserve">Actual Behavior:</w:t>
            </w:r>
          </w:p>
          <w:p>
            <w:pPr>
              <w:spacing w:after="80"/>
            </w:pPr>
            <w:r>
              <w:rPr>
                <w:rFonts w:ascii="Calibri" w:cs="Calibri" w:eastAsia="Calibri" w:hAnsi="Calibri"/>
                <w:color w:val="444444"/>
                <w:sz w:val="21"/>
                <w:szCs w:val="21"/>
              </w:rPr>
              <w:t xml:space="preserve">The sort treats currency values as text strings, comparing character by character. This produces incorrect ordering because string comparison evaluates "$127,650" &lt; "$129,200" &lt; "$142,600" (happens to work) but fails for others where digit-by-digit comparison diverges from numeric order.</w:t>
            </w:r>
          </w:p>
        </w:tc>
      </w:tr>
      <w:tr>
        <w:tc>
          <w:tcPr>
            <w:tcW w:type="dxa" w:w="9360"/>
            <w:tcBorders>
              <w:top w:val="none" w:color="FFFFFF" w:sz="0"/>
              <w:left w:val="none" w:color="FFFFFF" w:sz="0"/>
              <w:bottom w:val="single" w:color="DDDDDD" w:sz="1"/>
              <w:right w:val="none" w:color="FFFFFF" w:sz="0"/>
            </w:tcBorders>
            <w:shd w:fill="FFF8EE" w:val="clear"/>
            <w:tcMar>
              <w:top w:type="dxa" w:w="40"/>
              <w:left w:type="dxa" w:w="160"/>
              <w:bottom w:type="dxa" w:w="120"/>
              <w:right w:type="dxa" w:w="160"/>
            </w:tcMar>
          </w:tcPr>
          <w:p>
            <w:pPr>
              <w:spacing w:after="40"/>
            </w:pPr>
            <w:r>
              <w:rPr>
                <w:rFonts w:ascii="Calibri" w:cs="Calibri" w:eastAsia="Calibri" w:hAnsi="Calibri"/>
                <w:b/>
                <w:bCs/>
                <w:color w:val="7B5B00"/>
                <w:sz w:val="20"/>
                <w:szCs w:val="20"/>
              </w:rPr>
              <w:t xml:space="preserve">Business Impact:</w:t>
            </w:r>
          </w:p>
          <w:p>
            <w:pPr>
              <w:spacing w:after="0"/>
            </w:pPr>
            <w:r>
              <w:rPr>
                <w:rFonts w:ascii="Calibri" w:cs="Calibri" w:eastAsia="Calibri" w:hAnsi="Calibri"/>
                <w:i/>
                <w:iCs/>
                <w:color w:val="444444"/>
                <w:sz w:val="21"/>
                <w:szCs w:val="21"/>
              </w:rPr>
              <w:t xml:space="preserve">Incorrect sorting prevents users from quickly identifying their largest or smallest positions. In wealth management, ranking holdings by value is a fundamental analytical need. Broken sorting undermines the utility of the interface.</w:t>
            </w:r>
          </w:p>
        </w:tc>
      </w:tr>
    </w:tbl>
    <w:p>
      <w:r>
        <w:br w:type="page"/>
      </w:r>
    </w:p>
    <w:p>
      <w:pPr>
        <w:pStyle w:val="Heading1"/>
      </w:pPr>
      <w:r>
        <w:t xml:space="preserve">🟢  Low Bugs</w:t>
      </w:r>
    </w:p>
    <w:p>
      <w:pPr>
        <w:spacing w:after="140" w:before="0"/>
      </w:pPr>
      <w:r>
        <w:rPr>
          <w:rFonts w:ascii="Calibri" w:cs="Calibri" w:eastAsia="Calibri" w:hAnsi="Calibri"/>
          <w:b w:val="false"/>
          <w:bCs w:val="false"/>
          <w:i w:val="false"/>
          <w:iCs w:val="false"/>
          <w:color w:val="333333"/>
          <w:sz w:val="22"/>
          <w:szCs w:val="22"/>
        </w:rPr>
        <w:t xml:space="preserve">Low-severity bugs are cosmetic, typographical, or minor UI issues. They don’t affect functionality or data integrity but reduce the professional quality of the application.</w:t>
      </w:r>
    </w:p>
    <w:p>
      <w:pPr>
        <w:pBdr>
          <w:bottom w:val="single" w:color="1B8A5A" w:sz="8" w:space="1"/>
        </w:pBdr>
        <w:spacing w:after="200" w:before="6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6"/>
              <w:left w:val="none" w:color="FFFFFF" w:sz="0"/>
              <w:bottom w:val="none" w:color="FFFFFF" w:sz="0"/>
              <w:right w:val="none" w:color="FFFFFF" w:sz="0"/>
            </w:tcBorders>
            <w:shd w:fill="F2FAF2" w:val="clear"/>
            <w:tcMar>
              <w:top w:type="dxa" w:w="120"/>
              <w:left w:type="dxa" w:w="160"/>
              <w:bottom w:type="dxa" w:w="40"/>
              <w:right w:type="dxa" w:w="160"/>
            </w:tcMar>
          </w:tcPr>
          <w:p>
            <w:pPr>
              <w:spacing w:after="60"/>
            </w:pPr>
            <w:r>
              <w:rPr>
                <w:rFonts w:ascii="Calibri" w:cs="Calibri" w:eastAsia="Calibri" w:hAnsi="Calibri"/>
                <w:b/>
                <w:bCs/>
                <w:color w:val="2E7D32"/>
                <w:sz w:val="24"/>
                <w:szCs w:val="24"/>
              </w:rPr>
              <w:t xml:space="preserve">BUG-L1</w:t>
            </w:r>
            <w:r>
              <w:rPr>
                <w:rFonts w:ascii="Calibri" w:cs="Calibri" w:eastAsia="Calibri" w:hAnsi="Calibri"/>
                <w:color w:val="999999"/>
                <w:sz w:val="20"/>
                <w:szCs w:val="20"/>
              </w:rPr>
              <w:t xml:space="preserve">  |  </w:t>
            </w:r>
            <w:r>
              <w:rPr>
                <w:rFonts w:ascii="Calibri" w:cs="Calibri" w:eastAsia="Calibri" w:hAnsi="Calibri"/>
                <w:b/>
                <w:bCs/>
                <w:color w:val="2E7D32"/>
                <w:sz w:val="18"/>
                <w:szCs w:val="18"/>
              </w:rPr>
              <w:t xml:space="preserve">LOW</w:t>
            </w:r>
            <w:r>
              <w:rPr>
                <w:rFonts w:ascii="Calibri" w:cs="Calibri" w:eastAsia="Calibri" w:hAnsi="Calibri"/>
                <w:color w:val="999999"/>
                <w:sz w:val="20"/>
                <w:szCs w:val="20"/>
              </w:rPr>
              <w:t xml:space="preserve">  |  </w:t>
            </w:r>
            <w:r>
              <w:rPr>
                <w:rFonts w:ascii="Calibri" w:cs="Calibri" w:eastAsia="Calibri" w:hAnsi="Calibri"/>
                <w:color w:val="666666"/>
                <w:sz w:val="20"/>
                <w:szCs w:val="20"/>
              </w:rPr>
              <w:t xml:space="preserve">Page: </w:t>
            </w:r>
            <w:r>
              <w:rPr>
                <w:rFonts w:ascii="Calibri" w:cs="Calibri" w:eastAsia="Calibri" w:hAnsi="Calibri"/>
                <w:b/>
                <w:bCs/>
                <w:color w:val="333333"/>
                <w:sz w:val="20"/>
                <w:szCs w:val="20"/>
              </w:rPr>
              <w:t xml:space="preserve">Holdings</w:t>
            </w:r>
          </w:p>
          <w:p>
            <w:pPr>
              <w:spacing w:after="100"/>
            </w:pPr>
            <w:r>
              <w:rPr>
                <w:rFonts w:ascii="Calibri" w:cs="Calibri" w:eastAsia="Calibri" w:hAnsi="Calibri"/>
                <w:b/>
                <w:bCs/>
                <w:color w:val="1A2744"/>
                <w:sz w:val="26"/>
                <w:szCs w:val="26"/>
              </w:rPr>
              <w:t xml:space="preserve">Typo in Fund Name: “Barclys” Instead of “Barclays”</w:t>
            </w:r>
          </w:p>
        </w:tc>
      </w:tr>
      <w:tr>
        <w:tc>
          <w:tcPr>
            <w:tcW w:type="dxa" w:w="9360"/>
            <w:tcBorders>
              <w:top w:val="none" w:color="FFFFFF" w:sz="0"/>
              <w:left w:val="none" w:color="FFFFFF" w:sz="0"/>
              <w:bottom w:val="none" w:color="FFFFFF" w:sz="0"/>
              <w:right w:val="none" w:color="FFFFFF" w:sz="0"/>
            </w:tcBorders>
            <w:shd w:fill="F2FAF2" w:val="clear"/>
            <w:tcMar>
              <w:top w:type="dxa" w:w="40"/>
              <w:left w:type="dxa" w:w="160"/>
              <w:bottom w:type="dxa" w:w="40"/>
              <w:right w:type="dxa" w:w="160"/>
            </w:tcMar>
          </w:tcPr>
          <w:p>
            <w:pPr>
              <w:spacing w:after="40"/>
            </w:pPr>
            <w:r>
              <w:rPr>
                <w:rFonts w:ascii="Calibri" w:cs="Calibri" w:eastAsia="Calibri" w:hAnsi="Calibri"/>
                <w:b/>
                <w:bCs/>
                <w:color w:val="1A2744"/>
                <w:sz w:val="20"/>
                <w:szCs w:val="20"/>
              </w:rPr>
              <w:t xml:space="preserve">Steps to Reproduce:</w:t>
            </w:r>
          </w:p>
          <w:p>
            <w:pPr>
              <w:spacing w:after="80"/>
            </w:pPr>
            <w:r>
              <w:rPr>
                <w:rFonts w:ascii="Calibri" w:cs="Calibri" w:eastAsia="Calibri" w:hAnsi="Calibri"/>
                <w:color w:val="444444"/>
                <w:sz w:val="21"/>
                <w:szCs w:val="21"/>
              </w:rPr>
              <w:t xml:space="preserve">1. Navigate to Holdings page.
2. Look at the third row in the holdings table.
3. The fund name reads: "Barclys Global Bond Fund."</w:t>
            </w:r>
          </w:p>
        </w:tc>
      </w:tr>
      <w:tr>
        <w:tc>
          <w:tcPr>
            <w:tcW w:type="dxa" w:w="9360"/>
            <w:tcBorders>
              <w:top w:val="none" w:color="FFFFFF" w:sz="0"/>
              <w:left w:val="none" w:color="FFFFFF" w:sz="0"/>
              <w:bottom w:val="none" w:color="FFFFFF" w:sz="0"/>
              <w:right w:val="none" w:color="FFFFFF" w:sz="0"/>
            </w:tcBorders>
            <w:shd w:fill="F2FAF2" w:val="clear"/>
            <w:tcMar>
              <w:top w:type="dxa" w:w="40"/>
              <w:left w:type="dxa" w:w="160"/>
              <w:bottom w:type="dxa" w:w="40"/>
              <w:right w:type="dxa" w:w="160"/>
            </w:tcMar>
          </w:tcPr>
          <w:p>
            <w:pPr>
              <w:spacing w:after="40"/>
            </w:pPr>
            <w:r>
              <w:rPr>
                <w:rFonts w:ascii="Calibri" w:cs="Calibri" w:eastAsia="Calibri" w:hAnsi="Calibri"/>
                <w:b/>
                <w:bCs/>
                <w:color w:val="1B8A5A"/>
                <w:sz w:val="20"/>
                <w:szCs w:val="20"/>
              </w:rPr>
              <w:t xml:space="preserve">Expected Behavior:</w:t>
            </w:r>
          </w:p>
          <w:p>
            <w:pPr>
              <w:spacing w:after="80"/>
            </w:pPr>
            <w:r>
              <w:rPr>
                <w:rFonts w:ascii="Calibri" w:cs="Calibri" w:eastAsia="Calibri" w:hAnsi="Calibri"/>
                <w:color w:val="444444"/>
                <w:sz w:val="21"/>
                <w:szCs w:val="21"/>
              </w:rPr>
              <w:t xml:space="preserve">The fund name should be spelled correctly: "Barclays Global Bond Fund."</w:t>
            </w:r>
          </w:p>
          <w:p>
            <w:pPr>
              <w:spacing w:after="40"/>
            </w:pPr>
            <w:r>
              <w:rPr>
                <w:rFonts w:ascii="Calibri" w:cs="Calibri" w:eastAsia="Calibri" w:hAnsi="Calibri"/>
                <w:b/>
                <w:bCs/>
                <w:color w:val="C8102E"/>
                <w:sz w:val="20"/>
                <w:szCs w:val="20"/>
              </w:rPr>
              <w:t xml:space="preserve">Actual Behavior:</w:t>
            </w:r>
          </w:p>
          <w:p>
            <w:pPr>
              <w:spacing w:after="80"/>
            </w:pPr>
            <w:r>
              <w:rPr>
                <w:rFonts w:ascii="Calibri" w:cs="Calibri" w:eastAsia="Calibri" w:hAnsi="Calibri"/>
                <w:color w:val="444444"/>
                <w:sz w:val="21"/>
                <w:szCs w:val="21"/>
              </w:rPr>
              <w:t xml:space="preserve">The name is misspelled as "Barclys" — missing the letter "a" in Barclays.</w:t>
            </w:r>
          </w:p>
        </w:tc>
      </w:tr>
      <w:tr>
        <w:tc>
          <w:tcPr>
            <w:tcW w:type="dxa" w:w="9360"/>
            <w:tcBorders>
              <w:top w:val="none" w:color="FFFFFF" w:sz="0"/>
              <w:left w:val="none" w:color="FFFFFF" w:sz="0"/>
              <w:bottom w:val="single" w:color="DDDDDD" w:sz="1"/>
              <w:right w:val="none" w:color="FFFFFF" w:sz="0"/>
            </w:tcBorders>
            <w:shd w:fill="F2FAF2" w:val="clear"/>
            <w:tcMar>
              <w:top w:type="dxa" w:w="40"/>
              <w:left w:type="dxa" w:w="160"/>
              <w:bottom w:type="dxa" w:w="120"/>
              <w:right w:type="dxa" w:w="160"/>
            </w:tcMar>
          </w:tcPr>
          <w:p>
            <w:pPr>
              <w:spacing w:after="40"/>
            </w:pPr>
            <w:r>
              <w:rPr>
                <w:rFonts w:ascii="Calibri" w:cs="Calibri" w:eastAsia="Calibri" w:hAnsi="Calibri"/>
                <w:b/>
                <w:bCs/>
                <w:color w:val="7B5B00"/>
                <w:sz w:val="20"/>
                <w:szCs w:val="20"/>
              </w:rPr>
              <w:t xml:space="preserve">Business Impact:</w:t>
            </w:r>
          </w:p>
          <w:p>
            <w:pPr>
              <w:spacing w:after="0"/>
            </w:pPr>
            <w:r>
              <w:rPr>
                <w:rFonts w:ascii="Calibri" w:cs="Calibri" w:eastAsia="Calibri" w:hAnsi="Calibri"/>
                <w:i/>
                <w:iCs/>
                <w:color w:val="444444"/>
                <w:sz w:val="21"/>
                <w:szCs w:val="21"/>
              </w:rPr>
              <w:t xml:space="preserve">Misspelled fund names undermine credibility and could cause confusion when customers try to verify or research their holdings externally. It suggests lack of attention to detail in data entry.</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6"/>
              <w:left w:val="none" w:color="FFFFFF" w:sz="0"/>
              <w:bottom w:val="none" w:color="FFFFFF" w:sz="0"/>
              <w:right w:val="none" w:color="FFFFFF" w:sz="0"/>
            </w:tcBorders>
            <w:shd w:fill="F2FAF2" w:val="clear"/>
            <w:tcMar>
              <w:top w:type="dxa" w:w="120"/>
              <w:left w:type="dxa" w:w="160"/>
              <w:bottom w:type="dxa" w:w="40"/>
              <w:right w:type="dxa" w:w="160"/>
            </w:tcMar>
          </w:tcPr>
          <w:p>
            <w:pPr>
              <w:spacing w:after="60"/>
            </w:pPr>
            <w:r>
              <w:rPr>
                <w:rFonts w:ascii="Calibri" w:cs="Calibri" w:eastAsia="Calibri" w:hAnsi="Calibri"/>
                <w:b/>
                <w:bCs/>
                <w:color w:val="2E7D32"/>
                <w:sz w:val="24"/>
                <w:szCs w:val="24"/>
              </w:rPr>
              <w:t xml:space="preserve">BUG-L2</w:t>
            </w:r>
            <w:r>
              <w:rPr>
                <w:rFonts w:ascii="Calibri" w:cs="Calibri" w:eastAsia="Calibri" w:hAnsi="Calibri"/>
                <w:color w:val="999999"/>
                <w:sz w:val="20"/>
                <w:szCs w:val="20"/>
              </w:rPr>
              <w:t xml:space="preserve">  |  </w:t>
            </w:r>
            <w:r>
              <w:rPr>
                <w:rFonts w:ascii="Calibri" w:cs="Calibri" w:eastAsia="Calibri" w:hAnsi="Calibri"/>
                <w:b/>
                <w:bCs/>
                <w:color w:val="2E7D32"/>
                <w:sz w:val="18"/>
                <w:szCs w:val="18"/>
              </w:rPr>
              <w:t xml:space="preserve">LOW</w:t>
            </w:r>
            <w:r>
              <w:rPr>
                <w:rFonts w:ascii="Calibri" w:cs="Calibri" w:eastAsia="Calibri" w:hAnsi="Calibri"/>
                <w:color w:val="999999"/>
                <w:sz w:val="20"/>
                <w:szCs w:val="20"/>
              </w:rPr>
              <w:t xml:space="preserve">  |  </w:t>
            </w:r>
            <w:r>
              <w:rPr>
                <w:rFonts w:ascii="Calibri" w:cs="Calibri" w:eastAsia="Calibri" w:hAnsi="Calibri"/>
                <w:color w:val="666666"/>
                <w:sz w:val="20"/>
                <w:szCs w:val="20"/>
              </w:rPr>
              <w:t xml:space="preserve">Page: </w:t>
            </w:r>
            <w:r>
              <w:rPr>
                <w:rFonts w:ascii="Calibri" w:cs="Calibri" w:eastAsia="Calibri" w:hAnsi="Calibri"/>
                <w:b/>
                <w:bCs/>
                <w:color w:val="333333"/>
                <w:sz w:val="20"/>
                <w:szCs w:val="20"/>
              </w:rPr>
              <w:t xml:space="preserve">Payment History</w:t>
            </w:r>
          </w:p>
          <w:p>
            <w:pPr>
              <w:spacing w:after="100"/>
            </w:pPr>
            <w:r>
              <w:rPr>
                <w:rFonts w:ascii="Calibri" w:cs="Calibri" w:eastAsia="Calibri" w:hAnsi="Calibri"/>
                <w:b/>
                <w:bCs/>
                <w:color w:val="1A2744"/>
                <w:sz w:val="26"/>
                <w:szCs w:val="26"/>
              </w:rPr>
              <w:t xml:space="preserve">Inconsistent Currency Symbol: “USD” vs “$”</w:t>
            </w:r>
          </w:p>
        </w:tc>
      </w:tr>
      <w:tr>
        <w:tc>
          <w:tcPr>
            <w:tcW w:type="dxa" w:w="9360"/>
            <w:tcBorders>
              <w:top w:val="none" w:color="FFFFFF" w:sz="0"/>
              <w:left w:val="none" w:color="FFFFFF" w:sz="0"/>
              <w:bottom w:val="none" w:color="FFFFFF" w:sz="0"/>
              <w:right w:val="none" w:color="FFFFFF" w:sz="0"/>
            </w:tcBorders>
            <w:shd w:fill="F2FAF2" w:val="clear"/>
            <w:tcMar>
              <w:top w:type="dxa" w:w="40"/>
              <w:left w:type="dxa" w:w="160"/>
              <w:bottom w:type="dxa" w:w="40"/>
              <w:right w:type="dxa" w:w="160"/>
            </w:tcMar>
          </w:tcPr>
          <w:p>
            <w:pPr>
              <w:spacing w:after="40"/>
            </w:pPr>
            <w:r>
              <w:rPr>
                <w:rFonts w:ascii="Calibri" w:cs="Calibri" w:eastAsia="Calibri" w:hAnsi="Calibri"/>
                <w:b/>
                <w:bCs/>
                <w:color w:val="1A2744"/>
                <w:sz w:val="20"/>
                <w:szCs w:val="20"/>
              </w:rPr>
              <w:t xml:space="preserve">Steps to Reproduce:</w:t>
            </w:r>
          </w:p>
          <w:p>
            <w:pPr>
              <w:spacing w:after="80"/>
            </w:pPr>
            <w:r>
              <w:rPr>
                <w:rFonts w:ascii="Calibri" w:cs="Calibri" w:eastAsia="Calibri" w:hAnsi="Calibri"/>
                <w:color w:val="444444"/>
                <w:sz w:val="21"/>
                <w:szCs w:val="21"/>
              </w:rPr>
              <w:t xml:space="preserve">1. Navigate to Payment History page.
2. Scan all transaction amounts in the timeline.
3. Most entries use "$" prefix (e.g., "-$25,000.00", "+$1,240.00").
4. The iShares Core Bond ETF entry shows: "-USD 15,300.00".</w:t>
            </w:r>
          </w:p>
        </w:tc>
      </w:tr>
      <w:tr>
        <w:tc>
          <w:tcPr>
            <w:tcW w:type="dxa" w:w="9360"/>
            <w:tcBorders>
              <w:top w:val="none" w:color="FFFFFF" w:sz="0"/>
              <w:left w:val="none" w:color="FFFFFF" w:sz="0"/>
              <w:bottom w:val="none" w:color="FFFFFF" w:sz="0"/>
              <w:right w:val="none" w:color="FFFFFF" w:sz="0"/>
            </w:tcBorders>
            <w:shd w:fill="F2FAF2" w:val="clear"/>
            <w:tcMar>
              <w:top w:type="dxa" w:w="40"/>
              <w:left w:type="dxa" w:w="160"/>
              <w:bottom w:type="dxa" w:w="40"/>
              <w:right w:type="dxa" w:w="160"/>
            </w:tcMar>
          </w:tcPr>
          <w:p>
            <w:pPr>
              <w:spacing w:after="40"/>
            </w:pPr>
            <w:r>
              <w:rPr>
                <w:rFonts w:ascii="Calibri" w:cs="Calibri" w:eastAsia="Calibri" w:hAnsi="Calibri"/>
                <w:b/>
                <w:bCs/>
                <w:color w:val="1B8A5A"/>
                <w:sz w:val="20"/>
                <w:szCs w:val="20"/>
              </w:rPr>
              <w:t xml:space="preserve">Expected Behavior:</w:t>
            </w:r>
          </w:p>
          <w:p>
            <w:pPr>
              <w:spacing w:after="80"/>
            </w:pPr>
            <w:r>
              <w:rPr>
                <w:rFonts w:ascii="Calibri" w:cs="Calibri" w:eastAsia="Calibri" w:hAnsi="Calibri"/>
                <w:color w:val="444444"/>
                <w:sz w:val="21"/>
                <w:szCs w:val="21"/>
              </w:rPr>
              <w:t xml:space="preserve">All amounts should use the same currency format — consistently either "$" or "USD" throughout the application.</w:t>
            </w:r>
          </w:p>
          <w:p>
            <w:pPr>
              <w:spacing w:after="40"/>
            </w:pPr>
            <w:r>
              <w:rPr>
                <w:rFonts w:ascii="Calibri" w:cs="Calibri" w:eastAsia="Calibri" w:hAnsi="Calibri"/>
                <w:b/>
                <w:bCs/>
                <w:color w:val="C8102E"/>
                <w:sz w:val="20"/>
                <w:szCs w:val="20"/>
              </w:rPr>
              <w:t xml:space="preserve">Actual Behavior:</w:t>
            </w:r>
          </w:p>
          <w:p>
            <w:pPr>
              <w:spacing w:after="80"/>
            </w:pPr>
            <w:r>
              <w:rPr>
                <w:rFonts w:ascii="Calibri" w:cs="Calibri" w:eastAsia="Calibri" w:hAnsi="Calibri"/>
                <w:color w:val="444444"/>
                <w:sz w:val="21"/>
                <w:szCs w:val="21"/>
              </w:rPr>
              <w:t xml:space="preserve">One entry uses "USD" as a prefix while all other entries use the "$" symbol. The formatting is inconsistent.</w:t>
            </w:r>
          </w:p>
        </w:tc>
      </w:tr>
      <w:tr>
        <w:tc>
          <w:tcPr>
            <w:tcW w:type="dxa" w:w="9360"/>
            <w:tcBorders>
              <w:top w:val="none" w:color="FFFFFF" w:sz="0"/>
              <w:left w:val="none" w:color="FFFFFF" w:sz="0"/>
              <w:bottom w:val="single" w:color="DDDDDD" w:sz="1"/>
              <w:right w:val="none" w:color="FFFFFF" w:sz="0"/>
            </w:tcBorders>
            <w:shd w:fill="F2FAF2" w:val="clear"/>
            <w:tcMar>
              <w:top w:type="dxa" w:w="40"/>
              <w:left w:type="dxa" w:w="160"/>
              <w:bottom w:type="dxa" w:w="120"/>
              <w:right w:type="dxa" w:w="160"/>
            </w:tcMar>
          </w:tcPr>
          <w:p>
            <w:pPr>
              <w:spacing w:after="40"/>
            </w:pPr>
            <w:r>
              <w:rPr>
                <w:rFonts w:ascii="Calibri" w:cs="Calibri" w:eastAsia="Calibri" w:hAnsi="Calibri"/>
                <w:b/>
                <w:bCs/>
                <w:color w:val="7B5B00"/>
                <w:sz w:val="20"/>
                <w:szCs w:val="20"/>
              </w:rPr>
              <w:t xml:space="preserve">Business Impact:</w:t>
            </w:r>
          </w:p>
          <w:p>
            <w:pPr>
              <w:spacing w:after="0"/>
            </w:pPr>
            <w:r>
              <w:rPr>
                <w:rFonts w:ascii="Calibri" w:cs="Calibri" w:eastAsia="Calibri" w:hAnsi="Calibri"/>
                <w:i/>
                <w:iCs/>
                <w:color w:val="444444"/>
                <w:sz w:val="21"/>
                <w:szCs w:val="21"/>
              </w:rPr>
              <w:t xml:space="preserve">While the meaning is the same, inconsistent formatting looks unprofessional and suggests the data may come from improperly merged sources. In a banking app, formatting consistency signals reliability.</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6"/>
              <w:left w:val="none" w:color="FFFFFF" w:sz="0"/>
              <w:bottom w:val="none" w:color="FFFFFF" w:sz="0"/>
              <w:right w:val="none" w:color="FFFFFF" w:sz="0"/>
            </w:tcBorders>
            <w:shd w:fill="F2FAF2" w:val="clear"/>
            <w:tcMar>
              <w:top w:type="dxa" w:w="120"/>
              <w:left w:type="dxa" w:w="160"/>
              <w:bottom w:type="dxa" w:w="40"/>
              <w:right w:type="dxa" w:w="160"/>
            </w:tcMar>
          </w:tcPr>
          <w:p>
            <w:pPr>
              <w:spacing w:after="60"/>
            </w:pPr>
            <w:r>
              <w:rPr>
                <w:rFonts w:ascii="Calibri" w:cs="Calibri" w:eastAsia="Calibri" w:hAnsi="Calibri"/>
                <w:b/>
                <w:bCs/>
                <w:color w:val="2E7D32"/>
                <w:sz w:val="24"/>
                <w:szCs w:val="24"/>
              </w:rPr>
              <w:t xml:space="preserve">BUG-L3</w:t>
            </w:r>
            <w:r>
              <w:rPr>
                <w:rFonts w:ascii="Calibri" w:cs="Calibri" w:eastAsia="Calibri" w:hAnsi="Calibri"/>
                <w:color w:val="999999"/>
                <w:sz w:val="20"/>
                <w:szCs w:val="20"/>
              </w:rPr>
              <w:t xml:space="preserve">  |  </w:t>
            </w:r>
            <w:r>
              <w:rPr>
                <w:rFonts w:ascii="Calibri" w:cs="Calibri" w:eastAsia="Calibri" w:hAnsi="Calibri"/>
                <w:b/>
                <w:bCs/>
                <w:color w:val="2E7D32"/>
                <w:sz w:val="18"/>
                <w:szCs w:val="18"/>
              </w:rPr>
              <w:t xml:space="preserve">LOW</w:t>
            </w:r>
            <w:r>
              <w:rPr>
                <w:rFonts w:ascii="Calibri" w:cs="Calibri" w:eastAsia="Calibri" w:hAnsi="Calibri"/>
                <w:color w:val="999999"/>
                <w:sz w:val="20"/>
                <w:szCs w:val="20"/>
              </w:rPr>
              <w:t xml:space="preserve">  |  </w:t>
            </w:r>
            <w:r>
              <w:rPr>
                <w:rFonts w:ascii="Calibri" w:cs="Calibri" w:eastAsia="Calibri" w:hAnsi="Calibri"/>
                <w:color w:val="666666"/>
                <w:sz w:val="20"/>
                <w:szCs w:val="20"/>
              </w:rPr>
              <w:t xml:space="preserve">Page: </w:t>
            </w:r>
            <w:r>
              <w:rPr>
                <w:rFonts w:ascii="Calibri" w:cs="Calibri" w:eastAsia="Calibri" w:hAnsi="Calibri"/>
                <w:b/>
                <w:bCs/>
                <w:color w:val="333333"/>
                <w:sz w:val="20"/>
                <w:szCs w:val="20"/>
              </w:rPr>
              <w:t xml:space="preserve">Dashboard</w:t>
            </w:r>
          </w:p>
          <w:p>
            <w:pPr>
              <w:spacing w:after="100"/>
            </w:pPr>
            <w:r>
              <w:rPr>
                <w:rFonts w:ascii="Calibri" w:cs="Calibri" w:eastAsia="Calibri" w:hAnsi="Calibri"/>
                <w:b/>
                <w:bCs/>
                <w:color w:val="1A2744"/>
                <w:sz w:val="26"/>
                <w:szCs w:val="26"/>
              </w:rPr>
              <w:t xml:space="preserve">Tooltip Text Contradicts the Metric Label</w:t>
            </w:r>
          </w:p>
        </w:tc>
      </w:tr>
      <w:tr>
        <w:tc>
          <w:tcPr>
            <w:tcW w:type="dxa" w:w="9360"/>
            <w:tcBorders>
              <w:top w:val="none" w:color="FFFFFF" w:sz="0"/>
              <w:left w:val="none" w:color="FFFFFF" w:sz="0"/>
              <w:bottom w:val="none" w:color="FFFFFF" w:sz="0"/>
              <w:right w:val="none" w:color="FFFFFF" w:sz="0"/>
            </w:tcBorders>
            <w:shd w:fill="F2FAF2" w:val="clear"/>
            <w:tcMar>
              <w:top w:type="dxa" w:w="40"/>
              <w:left w:type="dxa" w:w="160"/>
              <w:bottom w:type="dxa" w:w="40"/>
              <w:right w:type="dxa" w:w="160"/>
            </w:tcMar>
          </w:tcPr>
          <w:p>
            <w:pPr>
              <w:spacing w:after="40"/>
            </w:pPr>
            <w:r>
              <w:rPr>
                <w:rFonts w:ascii="Calibri" w:cs="Calibri" w:eastAsia="Calibri" w:hAnsi="Calibri"/>
                <w:b/>
                <w:bCs/>
                <w:color w:val="1A2744"/>
                <w:sz w:val="20"/>
                <w:szCs w:val="20"/>
              </w:rPr>
              <w:t xml:space="preserve">Steps to Reproduce:</w:t>
            </w:r>
          </w:p>
          <w:p>
            <w:pPr>
              <w:spacing w:after="80"/>
            </w:pPr>
            <w:r>
              <w:rPr>
                <w:rFonts w:ascii="Calibri" w:cs="Calibri" w:eastAsia="Calibri" w:hAnsi="Calibri"/>
                <w:color w:val="444444"/>
                <w:sz w:val="21"/>
                <w:szCs w:val="21"/>
              </w:rPr>
              <w:t xml:space="preserve">1. Navigate to the Dashboard page.
2. Locate the "Today’s Gain/Loss" stat card (4th card).
3. Hover over the "?" icon next to the label.
4. Tooltip reads: "Cumulative lifetime gain."</w:t>
            </w:r>
          </w:p>
        </w:tc>
      </w:tr>
      <w:tr>
        <w:tc>
          <w:tcPr>
            <w:tcW w:type="dxa" w:w="9360"/>
            <w:tcBorders>
              <w:top w:val="none" w:color="FFFFFF" w:sz="0"/>
              <w:left w:val="none" w:color="FFFFFF" w:sz="0"/>
              <w:bottom w:val="none" w:color="FFFFFF" w:sz="0"/>
              <w:right w:val="none" w:color="FFFFFF" w:sz="0"/>
            </w:tcBorders>
            <w:shd w:fill="F2FAF2" w:val="clear"/>
            <w:tcMar>
              <w:top w:type="dxa" w:w="40"/>
              <w:left w:type="dxa" w:w="160"/>
              <w:bottom w:type="dxa" w:w="40"/>
              <w:right w:type="dxa" w:w="160"/>
            </w:tcMar>
          </w:tcPr>
          <w:p>
            <w:pPr>
              <w:spacing w:after="40"/>
            </w:pPr>
            <w:r>
              <w:rPr>
                <w:rFonts w:ascii="Calibri" w:cs="Calibri" w:eastAsia="Calibri" w:hAnsi="Calibri"/>
                <w:b/>
                <w:bCs/>
                <w:color w:val="1B8A5A"/>
                <w:sz w:val="20"/>
                <w:szCs w:val="20"/>
              </w:rPr>
              <w:t xml:space="preserve">Expected Behavior:</w:t>
            </w:r>
          </w:p>
          <w:p>
            <w:pPr>
              <w:spacing w:after="80"/>
            </w:pPr>
            <w:r>
              <w:rPr>
                <w:rFonts w:ascii="Calibri" w:cs="Calibri" w:eastAsia="Calibri" w:hAnsi="Calibri"/>
                <w:color w:val="444444"/>
                <w:sz w:val="21"/>
                <w:szCs w:val="21"/>
              </w:rPr>
              <w:t xml:space="preserve">The tooltip should describe the same metric as the label — either both say "Today’s" or both say "Cumulative."</w:t>
            </w:r>
          </w:p>
          <w:p>
            <w:pPr>
              <w:spacing w:after="40"/>
            </w:pPr>
            <w:r>
              <w:rPr>
                <w:rFonts w:ascii="Calibri" w:cs="Calibri" w:eastAsia="Calibri" w:hAnsi="Calibri"/>
                <w:b/>
                <w:bCs/>
                <w:color w:val="C8102E"/>
                <w:sz w:val="20"/>
                <w:szCs w:val="20"/>
              </w:rPr>
              <w:t xml:space="preserve">Actual Behavior:</w:t>
            </w:r>
          </w:p>
          <w:p>
            <w:pPr>
              <w:spacing w:after="80"/>
            </w:pPr>
            <w:r>
              <w:rPr>
                <w:rFonts w:ascii="Calibri" w:cs="Calibri" w:eastAsia="Calibri" w:hAnsi="Calibri"/>
                <w:color w:val="444444"/>
                <w:sz w:val="21"/>
                <w:szCs w:val="21"/>
              </w:rPr>
              <w:t xml:space="preserve">The label says "Today’s Gain/Loss" (a single-day metric) but the tooltip describes it as "Cumulative lifetime gain" (an all-time metric). These are completely different measures.</w:t>
            </w:r>
          </w:p>
        </w:tc>
      </w:tr>
      <w:tr>
        <w:tc>
          <w:tcPr>
            <w:tcW w:type="dxa" w:w="9360"/>
            <w:tcBorders>
              <w:top w:val="none" w:color="FFFFFF" w:sz="0"/>
              <w:left w:val="none" w:color="FFFFFF" w:sz="0"/>
              <w:bottom w:val="single" w:color="DDDDDD" w:sz="1"/>
              <w:right w:val="none" w:color="FFFFFF" w:sz="0"/>
            </w:tcBorders>
            <w:shd w:fill="F2FAF2" w:val="clear"/>
            <w:tcMar>
              <w:top w:type="dxa" w:w="40"/>
              <w:left w:type="dxa" w:w="160"/>
              <w:bottom w:type="dxa" w:w="120"/>
              <w:right w:type="dxa" w:w="160"/>
            </w:tcMar>
          </w:tcPr>
          <w:p>
            <w:pPr>
              <w:spacing w:after="40"/>
            </w:pPr>
            <w:r>
              <w:rPr>
                <w:rFonts w:ascii="Calibri" w:cs="Calibri" w:eastAsia="Calibri" w:hAnsi="Calibri"/>
                <w:b/>
                <w:bCs/>
                <w:color w:val="7B5B00"/>
                <w:sz w:val="20"/>
                <w:szCs w:val="20"/>
              </w:rPr>
              <w:t xml:space="preserve">Business Impact:</w:t>
            </w:r>
          </w:p>
          <w:p>
            <w:pPr>
              <w:spacing w:after="0"/>
            </w:pPr>
            <w:r>
              <w:rPr>
                <w:rFonts w:ascii="Calibri" w:cs="Calibri" w:eastAsia="Calibri" w:hAnsi="Calibri"/>
                <w:i/>
                <w:iCs/>
                <w:color w:val="444444"/>
                <w:sz w:val="21"/>
                <w:szCs w:val="21"/>
              </w:rPr>
              <w:t xml:space="preserve">Users relying on the tooltip for clarification will be confused about what the number actually represents — is it today’s performance or total lifetime performance? This undermines trust in the data’s accuracy.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6"/>
              <w:left w:val="none" w:color="FFFFFF" w:sz="0"/>
              <w:bottom w:val="none" w:color="FFFFFF" w:sz="0"/>
              <w:right w:val="none" w:color="FFFFFF" w:sz="0"/>
            </w:tcBorders>
            <w:shd w:fill="F2FAF2" w:val="clear"/>
            <w:tcMar>
              <w:top w:type="dxa" w:w="120"/>
              <w:left w:type="dxa" w:w="160"/>
              <w:bottom w:type="dxa" w:w="40"/>
              <w:right w:type="dxa" w:w="160"/>
            </w:tcMar>
          </w:tcPr>
          <w:p>
            <w:pPr>
              <w:spacing w:after="60"/>
            </w:pPr>
            <w:r>
              <w:rPr>
                <w:rFonts w:ascii="Calibri" w:cs="Calibri" w:eastAsia="Calibri" w:hAnsi="Calibri"/>
                <w:b/>
                <w:bCs/>
                <w:color w:val="2E7D32"/>
                <w:sz w:val="24"/>
                <w:szCs w:val="24"/>
              </w:rPr>
              <w:t xml:space="preserve">BUG-L4</w:t>
            </w:r>
            <w:r>
              <w:rPr>
                <w:rFonts w:ascii="Calibri" w:cs="Calibri" w:eastAsia="Calibri" w:hAnsi="Calibri"/>
                <w:color w:val="999999"/>
                <w:sz w:val="20"/>
                <w:szCs w:val="20"/>
              </w:rPr>
              <w:t xml:space="preserve">  |  </w:t>
            </w:r>
            <w:r>
              <w:rPr>
                <w:rFonts w:ascii="Calibri" w:cs="Calibri" w:eastAsia="Calibri" w:hAnsi="Calibri"/>
                <w:b/>
                <w:bCs/>
                <w:color w:val="2E7D32"/>
                <w:sz w:val="18"/>
                <w:szCs w:val="18"/>
              </w:rPr>
              <w:t xml:space="preserve">LOW</w:t>
            </w:r>
            <w:r>
              <w:rPr>
                <w:rFonts w:ascii="Calibri" w:cs="Calibri" w:eastAsia="Calibri" w:hAnsi="Calibri"/>
                <w:color w:val="999999"/>
                <w:sz w:val="20"/>
                <w:szCs w:val="20"/>
              </w:rPr>
              <w:t xml:space="preserve">  |  </w:t>
            </w:r>
            <w:r>
              <w:rPr>
                <w:rFonts w:ascii="Calibri" w:cs="Calibri" w:eastAsia="Calibri" w:hAnsi="Calibri"/>
                <w:color w:val="666666"/>
                <w:sz w:val="20"/>
                <w:szCs w:val="20"/>
              </w:rPr>
              <w:t xml:space="preserve">Page: </w:t>
            </w:r>
            <w:r>
              <w:rPr>
                <w:rFonts w:ascii="Calibri" w:cs="Calibri" w:eastAsia="Calibri" w:hAnsi="Calibri"/>
                <w:b/>
                <w:bCs/>
                <w:color w:val="333333"/>
                <w:sz w:val="20"/>
                <w:szCs w:val="20"/>
              </w:rPr>
              <w:t xml:space="preserve">All Pages</w:t>
            </w:r>
          </w:p>
          <w:p>
            <w:pPr>
              <w:spacing w:after="100"/>
            </w:pPr>
            <w:r>
              <w:rPr>
                <w:rFonts w:ascii="Calibri" w:cs="Calibri" w:eastAsia="Calibri" w:hAnsi="Calibri"/>
                <w:b/>
                <w:bCs/>
                <w:color w:val="1A2744"/>
                <w:sz w:val="26"/>
                <w:szCs w:val="26"/>
              </w:rPr>
              <w:t xml:space="preserve">Breadcrumb Navigation Does Not Update When Changing Pages</w:t>
            </w:r>
          </w:p>
        </w:tc>
      </w:tr>
      <w:tr>
        <w:tc>
          <w:tcPr>
            <w:tcW w:type="dxa" w:w="9360"/>
            <w:tcBorders>
              <w:top w:val="none" w:color="FFFFFF" w:sz="0"/>
              <w:left w:val="none" w:color="FFFFFF" w:sz="0"/>
              <w:bottom w:val="none" w:color="FFFFFF" w:sz="0"/>
              <w:right w:val="none" w:color="FFFFFF" w:sz="0"/>
            </w:tcBorders>
            <w:shd w:fill="F2FAF2" w:val="clear"/>
            <w:tcMar>
              <w:top w:type="dxa" w:w="40"/>
              <w:left w:type="dxa" w:w="160"/>
              <w:bottom w:type="dxa" w:w="40"/>
              <w:right w:type="dxa" w:w="160"/>
            </w:tcMar>
          </w:tcPr>
          <w:p>
            <w:pPr>
              <w:spacing w:after="40"/>
            </w:pPr>
            <w:r>
              <w:rPr>
                <w:rFonts w:ascii="Calibri" w:cs="Calibri" w:eastAsia="Calibri" w:hAnsi="Calibri"/>
                <w:b/>
                <w:bCs/>
                <w:color w:val="1A2744"/>
                <w:sz w:val="20"/>
                <w:szCs w:val="20"/>
              </w:rPr>
              <w:t xml:space="preserve">Steps to Reproduce:</w:t>
            </w:r>
          </w:p>
          <w:p>
            <w:pPr>
              <w:spacing w:after="80"/>
            </w:pPr>
            <w:r>
              <w:rPr>
                <w:rFonts w:ascii="Calibri" w:cs="Calibri" w:eastAsia="Calibri" w:hAnsi="Calibri"/>
                <w:color w:val="444444"/>
                <w:sz w:val="21"/>
                <w:szCs w:val="21"/>
              </w:rPr>
              <w:t xml:space="preserve">1. From the Dashboard, note the breadcrumb trail: "Dashboard &gt; Overview."
2. Click "Holdings" in the sidebar.
3. Check the breadcrumb trail — it still reads: "Dashboard &gt; Overview."
4. Navigate to any other page — breadcrumb remains unchanged.</w:t>
            </w:r>
          </w:p>
        </w:tc>
      </w:tr>
      <w:tr>
        <w:tc>
          <w:tcPr>
            <w:tcW w:type="dxa" w:w="9360"/>
            <w:tcBorders>
              <w:top w:val="none" w:color="FFFFFF" w:sz="0"/>
              <w:left w:val="none" w:color="FFFFFF" w:sz="0"/>
              <w:bottom w:val="none" w:color="FFFFFF" w:sz="0"/>
              <w:right w:val="none" w:color="FFFFFF" w:sz="0"/>
            </w:tcBorders>
            <w:shd w:fill="F2FAF2" w:val="clear"/>
            <w:tcMar>
              <w:top w:type="dxa" w:w="40"/>
              <w:left w:type="dxa" w:w="160"/>
              <w:bottom w:type="dxa" w:w="40"/>
              <w:right w:type="dxa" w:w="160"/>
            </w:tcMar>
          </w:tcPr>
          <w:p>
            <w:pPr>
              <w:spacing w:after="40"/>
            </w:pPr>
            <w:r>
              <w:rPr>
                <w:rFonts w:ascii="Calibri" w:cs="Calibri" w:eastAsia="Calibri" w:hAnsi="Calibri"/>
                <w:b/>
                <w:bCs/>
                <w:color w:val="1B8A5A"/>
                <w:sz w:val="20"/>
                <w:szCs w:val="20"/>
              </w:rPr>
              <w:t xml:space="preserve">Expected Behavior:</w:t>
            </w:r>
          </w:p>
          <w:p>
            <w:pPr>
              <w:spacing w:after="80"/>
            </w:pPr>
            <w:r>
              <w:rPr>
                <w:rFonts w:ascii="Calibri" w:cs="Calibri" w:eastAsia="Calibri" w:hAnsi="Calibri"/>
                <w:color w:val="444444"/>
                <w:sz w:val="21"/>
                <w:szCs w:val="21"/>
              </w:rPr>
              <w:t xml:space="preserve">The breadcrumb should update to reflect the current page (e.g., "Holdings &gt; All Holdings" or "Fund Transfer &gt; Initiate Transfer").</w:t>
            </w:r>
          </w:p>
          <w:p>
            <w:pPr>
              <w:spacing w:after="40"/>
            </w:pPr>
            <w:r>
              <w:rPr>
                <w:rFonts w:ascii="Calibri" w:cs="Calibri" w:eastAsia="Calibri" w:hAnsi="Calibri"/>
                <w:b/>
                <w:bCs/>
                <w:color w:val="C8102E"/>
                <w:sz w:val="20"/>
                <w:szCs w:val="20"/>
              </w:rPr>
              <w:t xml:space="preserve">Actual Behavior:</w:t>
            </w:r>
          </w:p>
          <w:p>
            <w:pPr>
              <w:spacing w:after="80"/>
            </w:pPr>
            <w:r>
              <w:rPr>
                <w:rFonts w:ascii="Calibri" w:cs="Calibri" w:eastAsia="Calibri" w:hAnsi="Calibri"/>
                <w:color w:val="444444"/>
                <w:sz w:val="21"/>
                <w:szCs w:val="21"/>
              </w:rPr>
              <w:t xml:space="preserve">The breadcrumb always displays "Dashboard &gt; Overview" regardless of which page the user is on.</w:t>
            </w:r>
          </w:p>
        </w:tc>
      </w:tr>
      <w:tr>
        <w:tc>
          <w:tcPr>
            <w:tcW w:type="dxa" w:w="9360"/>
            <w:tcBorders>
              <w:top w:val="none" w:color="FFFFFF" w:sz="0"/>
              <w:left w:val="none" w:color="FFFFFF" w:sz="0"/>
              <w:bottom w:val="single" w:color="DDDDDD" w:sz="1"/>
              <w:right w:val="none" w:color="FFFFFF" w:sz="0"/>
            </w:tcBorders>
            <w:shd w:fill="F2FAF2" w:val="clear"/>
            <w:tcMar>
              <w:top w:type="dxa" w:w="40"/>
              <w:left w:type="dxa" w:w="160"/>
              <w:bottom w:type="dxa" w:w="120"/>
              <w:right w:type="dxa" w:w="160"/>
            </w:tcMar>
          </w:tcPr>
          <w:p>
            <w:pPr>
              <w:spacing w:after="40"/>
            </w:pPr>
            <w:r>
              <w:rPr>
                <w:rFonts w:ascii="Calibri" w:cs="Calibri" w:eastAsia="Calibri" w:hAnsi="Calibri"/>
                <w:b/>
                <w:bCs/>
                <w:color w:val="7B5B00"/>
                <w:sz w:val="20"/>
                <w:szCs w:val="20"/>
              </w:rPr>
              <w:t xml:space="preserve">Business Impact:</w:t>
            </w:r>
          </w:p>
          <w:p>
            <w:pPr>
              <w:spacing w:after="0"/>
            </w:pPr>
            <w:r>
              <w:rPr>
                <w:rFonts w:ascii="Calibri" w:cs="Calibri" w:eastAsia="Calibri" w:hAnsi="Calibri"/>
                <w:i/>
                <w:iCs/>
                <w:color w:val="444444"/>
                <w:sz w:val="21"/>
                <w:szCs w:val="21"/>
              </w:rPr>
              <w:t xml:space="preserve">Stale breadcrumbs break navigation context, making it harder for users to orient themselves in the application. While minor, it contributes to a perception of an unfinished or untested product.</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6"/>
              <w:left w:val="none" w:color="FFFFFF" w:sz="0"/>
              <w:bottom w:val="none" w:color="FFFFFF" w:sz="0"/>
              <w:right w:val="none" w:color="FFFFFF" w:sz="0"/>
            </w:tcBorders>
            <w:shd w:fill="F2FAF2" w:val="clear"/>
            <w:tcMar>
              <w:top w:type="dxa" w:w="120"/>
              <w:left w:type="dxa" w:w="160"/>
              <w:bottom w:type="dxa" w:w="40"/>
              <w:right w:type="dxa" w:w="160"/>
            </w:tcMar>
          </w:tcPr>
          <w:p>
            <w:pPr>
              <w:spacing w:after="60"/>
            </w:pPr>
            <w:r>
              <w:rPr>
                <w:rFonts w:ascii="Calibri" w:cs="Calibri" w:eastAsia="Calibri" w:hAnsi="Calibri"/>
                <w:b/>
                <w:bCs/>
                <w:color w:val="2E7D32"/>
                <w:sz w:val="24"/>
                <w:szCs w:val="24"/>
              </w:rPr>
              <w:t xml:space="preserve">BUG-L5</w:t>
            </w:r>
            <w:r>
              <w:rPr>
                <w:rFonts w:ascii="Calibri" w:cs="Calibri" w:eastAsia="Calibri" w:hAnsi="Calibri"/>
                <w:color w:val="999999"/>
                <w:sz w:val="20"/>
                <w:szCs w:val="20"/>
              </w:rPr>
              <w:t xml:space="preserve">  |  </w:t>
            </w:r>
            <w:r>
              <w:rPr>
                <w:rFonts w:ascii="Calibri" w:cs="Calibri" w:eastAsia="Calibri" w:hAnsi="Calibri"/>
                <w:b/>
                <w:bCs/>
                <w:color w:val="2E7D32"/>
                <w:sz w:val="18"/>
                <w:szCs w:val="18"/>
              </w:rPr>
              <w:t xml:space="preserve">LOW</w:t>
            </w:r>
            <w:r>
              <w:rPr>
                <w:rFonts w:ascii="Calibri" w:cs="Calibri" w:eastAsia="Calibri" w:hAnsi="Calibri"/>
                <w:color w:val="999999"/>
                <w:sz w:val="20"/>
                <w:szCs w:val="20"/>
              </w:rPr>
              <w:t xml:space="preserve">  |  </w:t>
            </w:r>
            <w:r>
              <w:rPr>
                <w:rFonts w:ascii="Calibri" w:cs="Calibri" w:eastAsia="Calibri" w:hAnsi="Calibri"/>
                <w:color w:val="666666"/>
                <w:sz w:val="20"/>
                <w:szCs w:val="20"/>
              </w:rPr>
              <w:t xml:space="preserve">Page: </w:t>
            </w:r>
            <w:r>
              <w:rPr>
                <w:rFonts w:ascii="Calibri" w:cs="Calibri" w:eastAsia="Calibri" w:hAnsi="Calibri"/>
                <w:b/>
                <w:bCs/>
                <w:color w:val="333333"/>
                <w:sz w:val="20"/>
                <w:szCs w:val="20"/>
              </w:rPr>
              <w:t xml:space="preserve">Header (all pages)</w:t>
            </w:r>
          </w:p>
          <w:p>
            <w:pPr>
              <w:spacing w:after="100"/>
            </w:pPr>
            <w:r>
              <w:rPr>
                <w:rFonts w:ascii="Calibri" w:cs="Calibri" w:eastAsia="Calibri" w:hAnsi="Calibri"/>
                <w:b/>
                <w:bCs/>
                <w:color w:val="1A2744"/>
                <w:sz w:val="26"/>
                <w:szCs w:val="26"/>
              </w:rPr>
              <w:t xml:space="preserve">Notification Badge Count Does Not Match Actual Notifications</w:t>
            </w:r>
          </w:p>
        </w:tc>
      </w:tr>
      <w:tr>
        <w:tc>
          <w:tcPr>
            <w:tcW w:type="dxa" w:w="9360"/>
            <w:tcBorders>
              <w:top w:val="none" w:color="FFFFFF" w:sz="0"/>
              <w:left w:val="none" w:color="FFFFFF" w:sz="0"/>
              <w:bottom w:val="none" w:color="FFFFFF" w:sz="0"/>
              <w:right w:val="none" w:color="FFFFFF" w:sz="0"/>
            </w:tcBorders>
            <w:shd w:fill="F2FAF2" w:val="clear"/>
            <w:tcMar>
              <w:top w:type="dxa" w:w="40"/>
              <w:left w:type="dxa" w:w="160"/>
              <w:bottom w:type="dxa" w:w="40"/>
              <w:right w:type="dxa" w:w="160"/>
            </w:tcMar>
          </w:tcPr>
          <w:p>
            <w:pPr>
              <w:spacing w:after="40"/>
            </w:pPr>
            <w:r>
              <w:rPr>
                <w:rFonts w:ascii="Calibri" w:cs="Calibri" w:eastAsia="Calibri" w:hAnsi="Calibri"/>
                <w:b/>
                <w:bCs/>
                <w:color w:val="1A2744"/>
                <w:sz w:val="20"/>
                <w:szCs w:val="20"/>
              </w:rPr>
              <w:t xml:space="preserve">Steps to Reproduce:</w:t>
            </w:r>
          </w:p>
          <w:p>
            <w:pPr>
              <w:spacing w:after="80"/>
            </w:pPr>
            <w:r>
              <w:rPr>
                <w:rFonts w:ascii="Calibri" w:cs="Calibri" w:eastAsia="Calibri" w:hAnsi="Calibri"/>
                <w:color w:val="444444"/>
                <w:sz w:val="21"/>
                <w:szCs w:val="21"/>
              </w:rPr>
              <w:t xml:space="preserve">1. Look at the notification bell icon in the header bar.
2. The red badge displays the number "3."
3. Click the bell to open the notification dropdown.
4. Count the notification items: Wire Transfer Completed, Dividend Credited, Bill Due Reminder, Security Alert = 4 items.</w:t>
            </w:r>
          </w:p>
        </w:tc>
      </w:tr>
      <w:tr>
        <w:tc>
          <w:tcPr>
            <w:tcW w:type="dxa" w:w="9360"/>
            <w:tcBorders>
              <w:top w:val="none" w:color="FFFFFF" w:sz="0"/>
              <w:left w:val="none" w:color="FFFFFF" w:sz="0"/>
              <w:bottom w:val="none" w:color="FFFFFF" w:sz="0"/>
              <w:right w:val="none" w:color="FFFFFF" w:sz="0"/>
            </w:tcBorders>
            <w:shd w:fill="F2FAF2" w:val="clear"/>
            <w:tcMar>
              <w:top w:type="dxa" w:w="40"/>
              <w:left w:type="dxa" w:w="160"/>
              <w:bottom w:type="dxa" w:w="40"/>
              <w:right w:type="dxa" w:w="160"/>
            </w:tcMar>
          </w:tcPr>
          <w:p>
            <w:pPr>
              <w:spacing w:after="40"/>
            </w:pPr>
            <w:r>
              <w:rPr>
                <w:rFonts w:ascii="Calibri" w:cs="Calibri" w:eastAsia="Calibri" w:hAnsi="Calibri"/>
                <w:b/>
                <w:bCs/>
                <w:color w:val="1B8A5A"/>
                <w:sz w:val="20"/>
                <w:szCs w:val="20"/>
              </w:rPr>
              <w:t xml:space="preserve">Expected Behavior:</w:t>
            </w:r>
          </w:p>
          <w:p>
            <w:pPr>
              <w:spacing w:after="80"/>
            </w:pPr>
            <w:r>
              <w:rPr>
                <w:rFonts w:ascii="Calibri" w:cs="Calibri" w:eastAsia="Calibri" w:hAnsi="Calibri"/>
                <w:color w:val="444444"/>
                <w:sz w:val="21"/>
                <w:szCs w:val="21"/>
              </w:rPr>
              <w:t xml:space="preserve">The badge count should match the actual number of notifications (should display "4").</w:t>
            </w:r>
          </w:p>
          <w:p>
            <w:pPr>
              <w:spacing w:after="40"/>
            </w:pPr>
            <w:r>
              <w:rPr>
                <w:rFonts w:ascii="Calibri" w:cs="Calibri" w:eastAsia="Calibri" w:hAnsi="Calibri"/>
                <w:b/>
                <w:bCs/>
                <w:color w:val="C8102E"/>
                <w:sz w:val="20"/>
                <w:szCs w:val="20"/>
              </w:rPr>
              <w:t xml:space="preserve">Actual Behavior:</w:t>
            </w:r>
          </w:p>
          <w:p>
            <w:pPr>
              <w:spacing w:after="80"/>
            </w:pPr>
            <w:r>
              <w:rPr>
                <w:rFonts w:ascii="Calibri" w:cs="Calibri" w:eastAsia="Calibri" w:hAnsi="Calibri"/>
                <w:color w:val="444444"/>
                <w:sz w:val="21"/>
                <w:szCs w:val="21"/>
              </w:rPr>
              <w:t xml:space="preserve">The badge shows "3" but there are 4 notification items in the dropdown.</w:t>
            </w:r>
          </w:p>
        </w:tc>
      </w:tr>
      <w:tr>
        <w:tc>
          <w:tcPr>
            <w:tcW w:type="dxa" w:w="9360"/>
            <w:tcBorders>
              <w:top w:val="none" w:color="FFFFFF" w:sz="0"/>
              <w:left w:val="none" w:color="FFFFFF" w:sz="0"/>
              <w:bottom w:val="single" w:color="DDDDDD" w:sz="1"/>
              <w:right w:val="none" w:color="FFFFFF" w:sz="0"/>
            </w:tcBorders>
            <w:shd w:fill="F2FAF2" w:val="clear"/>
            <w:tcMar>
              <w:top w:type="dxa" w:w="40"/>
              <w:left w:type="dxa" w:w="160"/>
              <w:bottom w:type="dxa" w:w="120"/>
              <w:right w:type="dxa" w:w="160"/>
            </w:tcMar>
          </w:tcPr>
          <w:p>
            <w:pPr>
              <w:spacing w:after="40"/>
            </w:pPr>
            <w:r>
              <w:rPr>
                <w:rFonts w:ascii="Calibri" w:cs="Calibri" w:eastAsia="Calibri" w:hAnsi="Calibri"/>
                <w:b/>
                <w:bCs/>
                <w:color w:val="7B5B00"/>
                <w:sz w:val="20"/>
                <w:szCs w:val="20"/>
              </w:rPr>
              <w:t xml:space="preserve">Business Impact:</w:t>
            </w:r>
          </w:p>
          <w:p>
            <w:pPr>
              <w:spacing w:after="0"/>
            </w:pPr>
            <w:r>
              <w:rPr>
                <w:rFonts w:ascii="Calibri" w:cs="Calibri" w:eastAsia="Calibri" w:hAnsi="Calibri"/>
                <w:i/>
                <w:iCs/>
                <w:color w:val="444444"/>
                <w:sz w:val="21"/>
                <w:szCs w:val="21"/>
              </w:rPr>
              <w:t xml:space="preserve">A mismatched notification count is a data synchronization bug. While not critical, it erodes user trust — if the count is wrong, users may wonder if they’re missing notifications or if other counts in the system are also incorrect.</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6"/>
              <w:left w:val="none" w:color="FFFFFF" w:sz="0"/>
              <w:bottom w:val="none" w:color="FFFFFF" w:sz="0"/>
              <w:right w:val="none" w:color="FFFFFF" w:sz="0"/>
            </w:tcBorders>
            <w:shd w:fill="F2FAF2" w:val="clear"/>
            <w:tcMar>
              <w:top w:type="dxa" w:w="120"/>
              <w:left w:type="dxa" w:w="160"/>
              <w:bottom w:type="dxa" w:w="40"/>
              <w:right w:type="dxa" w:w="160"/>
            </w:tcMar>
          </w:tcPr>
          <w:p>
            <w:pPr>
              <w:spacing w:after="60"/>
            </w:pPr>
            <w:r>
              <w:rPr>
                <w:rFonts w:ascii="Calibri" w:cs="Calibri" w:eastAsia="Calibri" w:hAnsi="Calibri"/>
                <w:b/>
                <w:bCs/>
                <w:color w:val="2E7D32"/>
                <w:sz w:val="24"/>
                <w:szCs w:val="24"/>
              </w:rPr>
              <w:t xml:space="preserve">BUG-L6</w:t>
            </w:r>
            <w:r>
              <w:rPr>
                <w:rFonts w:ascii="Calibri" w:cs="Calibri" w:eastAsia="Calibri" w:hAnsi="Calibri"/>
                <w:color w:val="999999"/>
                <w:sz w:val="20"/>
                <w:szCs w:val="20"/>
              </w:rPr>
              <w:t xml:space="preserve">  |  </w:t>
            </w:r>
            <w:r>
              <w:rPr>
                <w:rFonts w:ascii="Calibri" w:cs="Calibri" w:eastAsia="Calibri" w:hAnsi="Calibri"/>
                <w:b/>
                <w:bCs/>
                <w:color w:val="2E7D32"/>
                <w:sz w:val="18"/>
                <w:szCs w:val="18"/>
              </w:rPr>
              <w:t xml:space="preserve">LOW</w:t>
            </w:r>
            <w:r>
              <w:rPr>
                <w:rFonts w:ascii="Calibri" w:cs="Calibri" w:eastAsia="Calibri" w:hAnsi="Calibri"/>
                <w:color w:val="999999"/>
                <w:sz w:val="20"/>
                <w:szCs w:val="20"/>
              </w:rPr>
              <w:t xml:space="preserve">  |  </w:t>
            </w:r>
            <w:r>
              <w:rPr>
                <w:rFonts w:ascii="Calibri" w:cs="Calibri" w:eastAsia="Calibri" w:hAnsi="Calibri"/>
                <w:color w:val="666666"/>
                <w:sz w:val="20"/>
                <w:szCs w:val="20"/>
              </w:rPr>
              <w:t xml:space="preserve">Page: </w:t>
            </w:r>
            <w:r>
              <w:rPr>
                <w:rFonts w:ascii="Calibri" w:cs="Calibri" w:eastAsia="Calibri" w:hAnsi="Calibri"/>
                <w:b/>
                <w:bCs/>
                <w:color w:val="333333"/>
                <w:sz w:val="20"/>
                <w:szCs w:val="20"/>
              </w:rPr>
              <w:t xml:space="preserve">Holdings</w:t>
            </w:r>
          </w:p>
          <w:p>
            <w:pPr>
              <w:spacing w:after="100"/>
            </w:pPr>
            <w:r>
              <w:rPr>
                <w:rFonts w:ascii="Calibri" w:cs="Calibri" w:eastAsia="Calibri" w:hAnsi="Calibri"/>
                <w:b/>
                <w:bCs/>
                <w:color w:val="1A2744"/>
                <w:sz w:val="26"/>
                <w:szCs w:val="26"/>
              </w:rPr>
              <w:t xml:space="preserve">Pagination Footer Shows Incorrect Item Count</w:t>
            </w:r>
          </w:p>
        </w:tc>
      </w:tr>
      <w:tr>
        <w:tc>
          <w:tcPr>
            <w:tcW w:type="dxa" w:w="9360"/>
            <w:tcBorders>
              <w:top w:val="none" w:color="FFFFFF" w:sz="0"/>
              <w:left w:val="none" w:color="FFFFFF" w:sz="0"/>
              <w:bottom w:val="none" w:color="FFFFFF" w:sz="0"/>
              <w:right w:val="none" w:color="FFFFFF" w:sz="0"/>
            </w:tcBorders>
            <w:shd w:fill="F2FAF2" w:val="clear"/>
            <w:tcMar>
              <w:top w:type="dxa" w:w="40"/>
              <w:left w:type="dxa" w:w="160"/>
              <w:bottom w:type="dxa" w:w="40"/>
              <w:right w:type="dxa" w:w="160"/>
            </w:tcMar>
          </w:tcPr>
          <w:p>
            <w:pPr>
              <w:spacing w:after="40"/>
            </w:pPr>
            <w:r>
              <w:rPr>
                <w:rFonts w:ascii="Calibri" w:cs="Calibri" w:eastAsia="Calibri" w:hAnsi="Calibri"/>
                <w:b/>
                <w:bCs/>
                <w:color w:val="1A2744"/>
                <w:sz w:val="20"/>
                <w:szCs w:val="20"/>
              </w:rPr>
              <w:t xml:space="preserve">Steps to Reproduce:</w:t>
            </w:r>
          </w:p>
          <w:p>
            <w:pPr>
              <w:spacing w:after="80"/>
            </w:pPr>
            <w:r>
              <w:rPr>
                <w:rFonts w:ascii="Calibri" w:cs="Calibri" w:eastAsia="Calibri" w:hAnsi="Calibri"/>
                <w:color w:val="444444"/>
                <w:sz w:val="21"/>
                <w:szCs w:val="21"/>
              </w:rPr>
              <w:t xml:space="preserve">1. Navigate to Holdings page.
2. Scroll to the bottom of the holdings table.
3. Read the pagination text: "Showing 1-8 of 6 holdings."
4. Count the actual rows in the table: there are 6.</w:t>
            </w:r>
          </w:p>
        </w:tc>
      </w:tr>
      <w:tr>
        <w:tc>
          <w:tcPr>
            <w:tcW w:type="dxa" w:w="9360"/>
            <w:tcBorders>
              <w:top w:val="none" w:color="FFFFFF" w:sz="0"/>
              <w:left w:val="none" w:color="FFFFFF" w:sz="0"/>
              <w:bottom w:val="none" w:color="FFFFFF" w:sz="0"/>
              <w:right w:val="none" w:color="FFFFFF" w:sz="0"/>
            </w:tcBorders>
            <w:shd w:fill="F2FAF2" w:val="clear"/>
            <w:tcMar>
              <w:top w:type="dxa" w:w="40"/>
              <w:left w:type="dxa" w:w="160"/>
              <w:bottom w:type="dxa" w:w="40"/>
              <w:right w:type="dxa" w:w="160"/>
            </w:tcMar>
          </w:tcPr>
          <w:p>
            <w:pPr>
              <w:spacing w:after="40"/>
            </w:pPr>
            <w:r>
              <w:rPr>
                <w:rFonts w:ascii="Calibri" w:cs="Calibri" w:eastAsia="Calibri" w:hAnsi="Calibri"/>
                <w:b/>
                <w:bCs/>
                <w:color w:val="1B8A5A"/>
                <w:sz w:val="20"/>
                <w:szCs w:val="20"/>
              </w:rPr>
              <w:t xml:space="preserve">Expected Behavior:</w:t>
            </w:r>
          </w:p>
          <w:p>
            <w:pPr>
              <w:spacing w:after="80"/>
            </w:pPr>
            <w:r>
              <w:rPr>
                <w:rFonts w:ascii="Calibri" w:cs="Calibri" w:eastAsia="Calibri" w:hAnsi="Calibri"/>
                <w:color w:val="444444"/>
                <w:sz w:val="21"/>
                <w:szCs w:val="21"/>
              </w:rPr>
              <w:t xml:space="preserve">The pagination text should read "Showing 1-6 of 6 holdings" since there are exactly 6 rows.</w:t>
            </w:r>
          </w:p>
          <w:p>
            <w:pPr>
              <w:spacing w:after="40"/>
            </w:pPr>
            <w:r>
              <w:rPr>
                <w:rFonts w:ascii="Calibri" w:cs="Calibri" w:eastAsia="Calibri" w:hAnsi="Calibri"/>
                <w:b/>
                <w:bCs/>
                <w:color w:val="C8102E"/>
                <w:sz w:val="20"/>
                <w:szCs w:val="20"/>
              </w:rPr>
              <w:t xml:space="preserve">Actual Behavior:</w:t>
            </w:r>
          </w:p>
          <w:p>
            <w:pPr>
              <w:spacing w:after="80"/>
            </w:pPr>
            <w:r>
              <w:rPr>
                <w:rFonts w:ascii="Calibri" w:cs="Calibri" w:eastAsia="Calibri" w:hAnsi="Calibri"/>
                <w:color w:val="444444"/>
                <w:sz w:val="21"/>
                <w:szCs w:val="21"/>
              </w:rPr>
              <w:t xml:space="preserve">The pagination claims to be showing items 1–8 when only 6 items exist. The range "1-8" is impossible for a dataset of 6 records.</w:t>
            </w:r>
          </w:p>
        </w:tc>
      </w:tr>
      <w:tr>
        <w:tc>
          <w:tcPr>
            <w:tcW w:type="dxa" w:w="9360"/>
            <w:tcBorders>
              <w:top w:val="none" w:color="FFFFFF" w:sz="0"/>
              <w:left w:val="none" w:color="FFFFFF" w:sz="0"/>
              <w:bottom w:val="single" w:color="DDDDDD" w:sz="1"/>
              <w:right w:val="none" w:color="FFFFFF" w:sz="0"/>
            </w:tcBorders>
            <w:shd w:fill="F2FAF2" w:val="clear"/>
            <w:tcMar>
              <w:top w:type="dxa" w:w="40"/>
              <w:left w:type="dxa" w:w="160"/>
              <w:bottom w:type="dxa" w:w="120"/>
              <w:right w:type="dxa" w:w="160"/>
            </w:tcMar>
          </w:tcPr>
          <w:p>
            <w:pPr>
              <w:spacing w:after="40"/>
            </w:pPr>
            <w:r>
              <w:rPr>
                <w:rFonts w:ascii="Calibri" w:cs="Calibri" w:eastAsia="Calibri" w:hAnsi="Calibri"/>
                <w:b/>
                <w:bCs/>
                <w:color w:val="7B5B00"/>
                <w:sz w:val="20"/>
                <w:szCs w:val="20"/>
              </w:rPr>
              <w:t xml:space="preserve">Business Impact:</w:t>
            </w:r>
          </w:p>
          <w:p>
            <w:pPr>
              <w:spacing w:after="0"/>
            </w:pPr>
            <w:r>
              <w:rPr>
                <w:rFonts w:ascii="Calibri" w:cs="Calibri" w:eastAsia="Calibri" w:hAnsi="Calibri"/>
                <w:i/>
                <w:iCs/>
                <w:color w:val="444444"/>
                <w:sz w:val="21"/>
                <w:szCs w:val="21"/>
              </w:rPr>
              <w:t xml:space="preserve">While cosmetic, pagination errors suggest the system cannot accurately count its own data. In a financial application where every number matters, even a count mismatch undermines confidence in the system’s reliability.</w:t>
            </w:r>
          </w:p>
        </w:tc>
      </w:tr>
    </w:tbl>
    <w:p>
      <w:r>
        <w:br w:type="page"/>
      </w:r>
    </w:p>
    <w:p>
      <w:pPr>
        <w:pStyle w:val="Heading1"/>
      </w:pPr>
      <w:r>
        <w:t xml:space="preserve">Quick Reference — Scoring Sheet</w:t>
      </w:r>
    </w:p>
    <w:p>
      <w:pPr>
        <w:spacing w:after="140" w:before="0"/>
      </w:pPr>
      <w:r>
        <w:rPr>
          <w:rFonts w:ascii="Calibri" w:cs="Calibri" w:eastAsia="Calibri" w:hAnsi="Calibri"/>
          <w:b w:val="false"/>
          <w:bCs w:val="false"/>
          <w:i w:val="false"/>
          <w:iCs w:val="false"/>
          <w:color w:val="333333"/>
          <w:sz w:val="22"/>
          <w:szCs w:val="22"/>
        </w:rPr>
        <w:t xml:space="preserve">Use this table for rapid scoring during the event. Check off each bug as participants report it.</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000"/>
        <w:gridCol w:w="1600"/>
        <w:gridCol w:w="3360"/>
        <w:gridCol w:w="1500"/>
        <w:gridCol w:w="1300"/>
      </w:tblGrid>
      <w:tr>
        <w:tc>
          <w:tcPr>
            <w:tcW w:type="dxa" w:w="6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Calibri" w:cs="Calibri" w:eastAsia="Calibri" w:hAnsi="Calibri"/>
                <w:b/>
                <w:bCs/>
                <w:color w:val="FFFFFF"/>
                <w:sz w:val="20"/>
                <w:szCs w:val="20"/>
              </w:rPr>
              <w:t xml:space="preserve">✓</w:t>
            </w:r>
          </w:p>
        </w:tc>
        <w:tc>
          <w:tcPr>
            <w:tcW w:type="dxa" w:w="10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Calibri" w:cs="Calibri" w:eastAsia="Calibri" w:hAnsi="Calibri"/>
                <w:b/>
                <w:bCs/>
                <w:color w:val="FFFFFF"/>
                <w:sz w:val="20"/>
                <w:szCs w:val="20"/>
              </w:rPr>
              <w:t xml:space="preserve">Bug ID</w:t>
            </w:r>
          </w:p>
        </w:tc>
        <w:tc>
          <w:tcPr>
            <w:tcW w:type="dxa" w:w="16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Calibri" w:cs="Calibri" w:eastAsia="Calibri" w:hAnsi="Calibri"/>
                <w:b/>
                <w:bCs/>
                <w:color w:val="FFFFFF"/>
                <w:sz w:val="20"/>
                <w:szCs w:val="20"/>
              </w:rPr>
              <w:t xml:space="preserve">Severity</w:t>
            </w:r>
          </w:p>
        </w:tc>
        <w:tc>
          <w:tcPr>
            <w:tcW w:type="dxa" w:w="336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Calibri" w:cs="Calibri" w:eastAsia="Calibri" w:hAnsi="Calibri"/>
                <w:b/>
                <w:bCs/>
                <w:color w:val="FFFFFF"/>
                <w:sz w:val="20"/>
                <w:szCs w:val="20"/>
              </w:rPr>
              <w:t xml:space="preserve">Bug Title</w:t>
            </w:r>
          </w:p>
        </w:tc>
        <w:tc>
          <w:tcPr>
            <w:tcW w:type="dxa" w:w="15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Calibri" w:cs="Calibri" w:eastAsia="Calibri" w:hAnsi="Calibri"/>
                <w:b/>
                <w:bCs/>
                <w:color w:val="FFFFFF"/>
                <w:sz w:val="20"/>
                <w:szCs w:val="20"/>
              </w:rPr>
              <w:t xml:space="preserve">Page</w:t>
            </w:r>
          </w:p>
        </w:tc>
        <w:tc>
          <w:tcPr>
            <w:tcW w:type="dxa" w:w="13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Calibri" w:cs="Calibri" w:eastAsia="Calibri" w:hAnsi="Calibri"/>
                <w:b/>
                <w:bCs/>
                <w:color w:val="FFFFFF"/>
                <w:sz w:val="20"/>
                <w:szCs w:val="20"/>
              </w:rPr>
              <w:t xml:space="preserve">Points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b w:val="false"/>
                <w:bCs w:val="false"/>
                <w:color w:val="333333"/>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333333"/>
                <w:sz w:val="20"/>
                <w:szCs w:val="20"/>
              </w:rPr>
              <w:t xml:space="preserve">BUG-C1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 Critical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Negative Amount Accepted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Fund Transfer</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b/>
                <w:bCs/>
                <w:color w:val="333333"/>
                <w:sz w:val="20"/>
                <w:szCs w:val="20"/>
              </w:rPr>
              <w:t xml:space="preserve">15</w:t>
            </w:r>
          </w:p>
        </w:tc>
      </w:tr>
      <w:tr>
        <w:tc>
          <w:tcPr>
            <w:tcW w:type="dxa" w:w="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Calibri" w:cs="Calibri" w:eastAsia="Calibri" w:hAnsi="Calibri"/>
                <w:b w:val="false"/>
                <w:bCs w:val="false"/>
                <w:color w:val="333333"/>
                <w:sz w:val="20"/>
                <w:szCs w:val="20"/>
              </w:rPr>
              <w:t xml:space="preserve">□</w:t>
            </w:r>
          </w:p>
        </w:tc>
        <w:tc>
          <w:tcPr>
            <w:tcW w:type="dxa" w:w="1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bCs/>
                <w:color w:val="333333"/>
                <w:sz w:val="20"/>
                <w:szCs w:val="20"/>
              </w:rPr>
              <w:t xml:space="preserve">BUG-C2</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 Critical</w:t>
            </w:r>
          </w:p>
        </w:tc>
        <w:tc>
          <w:tcPr>
            <w:tcW w:type="dxa" w:w="3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Exceeds Balance</w:t>
            </w:r>
          </w:p>
        </w:tc>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Fund Transfer</w:t>
            </w:r>
          </w:p>
        </w:tc>
        <w:tc>
          <w:tcPr>
            <w:tcW w:type="dxa" w:w="13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Calibri" w:cs="Calibri" w:eastAsia="Calibri" w:hAnsi="Calibri"/>
                <w:b/>
                <w:bCs/>
                <w:color w:val="333333"/>
                <w:sz w:val="20"/>
                <w:szCs w:val="20"/>
              </w:rPr>
              <w:t xml:space="preserve">15</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b w:val="false"/>
                <w:bCs w:val="false"/>
                <w:color w:val="333333"/>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333333"/>
                <w:sz w:val="20"/>
                <w:szCs w:val="20"/>
              </w:rPr>
              <w:t xml:space="preserve">BUG-C3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 Critical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Same-Account Transfer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Fund Transfer</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b/>
                <w:bCs/>
                <w:color w:val="333333"/>
                <w:sz w:val="20"/>
                <w:szCs w:val="20"/>
              </w:rPr>
              <w:t xml:space="preserve">15</w:t>
            </w:r>
          </w:p>
        </w:tc>
      </w:tr>
      <w:tr>
        <w:tc>
          <w:tcPr>
            <w:tcW w:type="dxa" w:w="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Calibri" w:cs="Calibri" w:eastAsia="Calibri" w:hAnsi="Calibri"/>
                <w:b w:val="false"/>
                <w:bCs w:val="false"/>
                <w:color w:val="333333"/>
                <w:sz w:val="20"/>
                <w:szCs w:val="20"/>
              </w:rPr>
              <w:t xml:space="preserve">□</w:t>
            </w:r>
          </w:p>
        </w:tc>
        <w:tc>
          <w:tcPr>
            <w:tcW w:type="dxa" w:w="1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bCs/>
                <w:color w:val="333333"/>
                <w:sz w:val="20"/>
                <w:szCs w:val="20"/>
              </w:rPr>
              <w:t xml:space="preserve">BUG-C4</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 Critical</w:t>
            </w:r>
          </w:p>
        </w:tc>
        <w:tc>
          <w:tcPr>
            <w:tcW w:type="dxa" w:w="3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Wrong Amount in Confirm</w:t>
            </w:r>
          </w:p>
        </w:tc>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Bill Payment</w:t>
            </w:r>
          </w:p>
        </w:tc>
        <w:tc>
          <w:tcPr>
            <w:tcW w:type="dxa" w:w="13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Calibri" w:cs="Calibri" w:eastAsia="Calibri" w:hAnsi="Calibri"/>
                <w:b/>
                <w:bCs/>
                <w:color w:val="333333"/>
                <w:sz w:val="20"/>
                <w:szCs w:val="20"/>
              </w:rPr>
              <w:t xml:space="preserve">15</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b w:val="false"/>
                <w:bCs w:val="false"/>
                <w:color w:val="333333"/>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333333"/>
                <w:sz w:val="20"/>
                <w:szCs w:val="20"/>
              </w:rPr>
              <w:t xml:space="preserve">BUG-C5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 Critical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Allocation ≠ 100%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Dashboard</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b/>
                <w:bCs/>
                <w:color w:val="333333"/>
                <w:sz w:val="20"/>
                <w:szCs w:val="20"/>
              </w:rPr>
              <w:t xml:space="preserve">15</w:t>
            </w:r>
          </w:p>
        </w:tc>
      </w:tr>
      <w:tr>
        <w:tc>
          <w:tcPr>
            <w:tcW w:type="dxa" w:w="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Calibri" w:cs="Calibri" w:eastAsia="Calibri" w:hAnsi="Calibri"/>
                <w:b w:val="false"/>
                <w:bCs w:val="false"/>
                <w:color w:val="333333"/>
                <w:sz w:val="20"/>
                <w:szCs w:val="20"/>
              </w:rPr>
              <w:t xml:space="preserve">□</w:t>
            </w:r>
          </w:p>
        </w:tc>
        <w:tc>
          <w:tcPr>
            <w:tcW w:type="dxa" w:w="1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bCs/>
                <w:color w:val="333333"/>
                <w:sz w:val="20"/>
                <w:szCs w:val="20"/>
              </w:rPr>
              <w:t xml:space="preserve">BUG-C6</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 Critical</w:t>
            </w:r>
          </w:p>
        </w:tc>
        <w:tc>
          <w:tcPr>
            <w:tcW w:type="dxa" w:w="3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Full Acct # Exposed</w:t>
            </w:r>
          </w:p>
        </w:tc>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Dashboard</w:t>
            </w:r>
          </w:p>
        </w:tc>
        <w:tc>
          <w:tcPr>
            <w:tcW w:type="dxa" w:w="13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Calibri" w:cs="Calibri" w:eastAsia="Calibri" w:hAnsi="Calibri"/>
                <w:b/>
                <w:bCs/>
                <w:color w:val="333333"/>
                <w:sz w:val="20"/>
                <w:szCs w:val="20"/>
              </w:rPr>
              <w:t xml:space="preserve">15</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b w:val="false"/>
                <w:bCs w:val="false"/>
                <w:color w:val="333333"/>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333333"/>
                <w:sz w:val="20"/>
                <w:szCs w:val="20"/>
              </w:rPr>
              <w:t xml:space="preserve">BUG-H1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 High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Total Mismatch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Dashboard</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b/>
                <w:bCs/>
                <w:color w:val="333333"/>
                <w:sz w:val="20"/>
                <w:szCs w:val="20"/>
              </w:rPr>
              <w:t xml:space="preserve">10</w:t>
            </w:r>
          </w:p>
        </w:tc>
      </w:tr>
      <w:tr>
        <w:tc>
          <w:tcPr>
            <w:tcW w:type="dxa" w:w="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Calibri" w:cs="Calibri" w:eastAsia="Calibri" w:hAnsi="Calibri"/>
                <w:b w:val="false"/>
                <w:bCs w:val="false"/>
                <w:color w:val="333333"/>
                <w:sz w:val="20"/>
                <w:szCs w:val="20"/>
              </w:rPr>
              <w:t xml:space="preserve">□</w:t>
            </w:r>
          </w:p>
        </w:tc>
        <w:tc>
          <w:tcPr>
            <w:tcW w:type="dxa" w:w="1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bCs/>
                <w:color w:val="333333"/>
                <w:sz w:val="20"/>
                <w:szCs w:val="20"/>
              </w:rPr>
              <w:t xml:space="preserve">BUG-H2</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 High</w:t>
            </w:r>
          </w:p>
        </w:tc>
        <w:tc>
          <w:tcPr>
            <w:tcW w:type="dxa" w:w="3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YTD % Inconsistent</w:t>
            </w:r>
          </w:p>
        </w:tc>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Dashboard</w:t>
            </w:r>
          </w:p>
        </w:tc>
        <w:tc>
          <w:tcPr>
            <w:tcW w:type="dxa" w:w="13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Calibri" w:cs="Calibri" w:eastAsia="Calibri" w:hAnsi="Calibri"/>
                <w:b/>
                <w:bCs/>
                <w:color w:val="333333"/>
                <w:sz w:val="20"/>
                <w:szCs w:val="20"/>
              </w:rPr>
              <w:t xml:space="preserve">10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b w:val="false"/>
                <w:bCs w:val="false"/>
                <w:color w:val="333333"/>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333333"/>
                <w:sz w:val="20"/>
                <w:szCs w:val="20"/>
              </w:rPr>
              <w:t xml:space="preserve">BUG-H3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 High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Date Format Inconsistent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Multiple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b/>
                <w:bCs/>
                <w:color w:val="333333"/>
                <w:sz w:val="20"/>
                <w:szCs w:val="20"/>
              </w:rPr>
              <w:t xml:space="preserve">10</w:t>
            </w:r>
          </w:p>
        </w:tc>
      </w:tr>
      <w:tr>
        <w:tc>
          <w:tcPr>
            <w:tcW w:type="dxa" w:w="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Calibri" w:cs="Calibri" w:eastAsia="Calibri" w:hAnsi="Calibri"/>
                <w:b w:val="false"/>
                <w:bCs w:val="false"/>
                <w:color w:val="333333"/>
                <w:sz w:val="20"/>
                <w:szCs w:val="20"/>
              </w:rPr>
              <w:t xml:space="preserve">□</w:t>
            </w:r>
          </w:p>
        </w:tc>
        <w:tc>
          <w:tcPr>
            <w:tcW w:type="dxa" w:w="1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bCs/>
                <w:color w:val="333333"/>
                <w:sz w:val="20"/>
                <w:szCs w:val="20"/>
              </w:rPr>
              <w:t xml:space="preserve">BUG-H4</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 High</w:t>
            </w:r>
          </w:p>
        </w:tc>
        <w:tc>
          <w:tcPr>
            <w:tcW w:type="dxa" w:w="3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Wire Fee Not Shown</w:t>
            </w:r>
          </w:p>
        </w:tc>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Fund Transfer</w:t>
            </w:r>
          </w:p>
        </w:tc>
        <w:tc>
          <w:tcPr>
            <w:tcW w:type="dxa" w:w="13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Calibri" w:cs="Calibri" w:eastAsia="Calibri" w:hAnsi="Calibri"/>
                <w:b/>
                <w:bCs/>
                <w:color w:val="333333"/>
                <w:sz w:val="20"/>
                <w:szCs w:val="20"/>
              </w:rPr>
              <w:t xml:space="preserve">10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b w:val="false"/>
                <w:bCs w:val="false"/>
                <w:color w:val="333333"/>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333333"/>
                <w:sz w:val="20"/>
                <w:szCs w:val="20"/>
              </w:rPr>
              <w:t xml:space="preserve">BUG-H5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 High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Overdue Shown as Pending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Bill Payment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b/>
                <w:bCs/>
                <w:color w:val="333333"/>
                <w:sz w:val="20"/>
                <w:szCs w:val="20"/>
              </w:rPr>
              <w:t xml:space="preserve">10</w:t>
            </w:r>
          </w:p>
        </w:tc>
      </w:tr>
      <w:tr>
        <w:tc>
          <w:tcPr>
            <w:tcW w:type="dxa" w:w="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Calibri" w:cs="Calibri" w:eastAsia="Calibri" w:hAnsi="Calibri"/>
                <w:b w:val="false"/>
                <w:bCs w:val="false"/>
                <w:color w:val="333333"/>
                <w:sz w:val="20"/>
                <w:szCs w:val="20"/>
              </w:rPr>
              <w:t xml:space="preserve">□</w:t>
            </w:r>
          </w:p>
        </w:tc>
        <w:tc>
          <w:tcPr>
            <w:tcW w:type="dxa" w:w="1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bCs/>
                <w:color w:val="333333"/>
                <w:sz w:val="20"/>
                <w:szCs w:val="20"/>
              </w:rPr>
              <w:t xml:space="preserve">BUG-H6</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 High</w:t>
            </w:r>
          </w:p>
        </w:tc>
        <w:tc>
          <w:tcPr>
            <w:tcW w:type="dxa" w:w="3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Sort Broken</w:t>
            </w:r>
          </w:p>
        </w:tc>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Holdings</w:t>
            </w:r>
          </w:p>
        </w:tc>
        <w:tc>
          <w:tcPr>
            <w:tcW w:type="dxa" w:w="13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Calibri" w:cs="Calibri" w:eastAsia="Calibri" w:hAnsi="Calibri"/>
                <w:b/>
                <w:bCs/>
                <w:color w:val="333333"/>
                <w:sz w:val="20"/>
                <w:szCs w:val="20"/>
              </w:rPr>
              <w:t xml:space="preserve">10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b w:val="false"/>
                <w:bCs w:val="false"/>
                <w:color w:val="333333"/>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333333"/>
                <w:sz w:val="20"/>
                <w:szCs w:val="20"/>
              </w:rPr>
              <w:t xml:space="preserve">BUG-L1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 Low</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Typo: Barclys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Holdings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b/>
                <w:bCs/>
                <w:color w:val="333333"/>
                <w:sz w:val="20"/>
                <w:szCs w:val="20"/>
              </w:rPr>
              <w:t xml:space="preserve">5</w:t>
            </w:r>
          </w:p>
        </w:tc>
      </w:tr>
      <w:tr>
        <w:tc>
          <w:tcPr>
            <w:tcW w:type="dxa" w:w="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Calibri" w:cs="Calibri" w:eastAsia="Calibri" w:hAnsi="Calibri"/>
                <w:b w:val="false"/>
                <w:bCs w:val="false"/>
                <w:color w:val="333333"/>
                <w:sz w:val="20"/>
                <w:szCs w:val="20"/>
              </w:rPr>
              <w:t xml:space="preserve">□</w:t>
            </w:r>
          </w:p>
        </w:tc>
        <w:tc>
          <w:tcPr>
            <w:tcW w:type="dxa" w:w="1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bCs/>
                <w:color w:val="333333"/>
                <w:sz w:val="20"/>
                <w:szCs w:val="20"/>
              </w:rPr>
              <w:t xml:space="preserve">BUG-L2</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 Low</w:t>
            </w:r>
          </w:p>
        </w:tc>
        <w:tc>
          <w:tcPr>
            <w:tcW w:type="dxa" w:w="3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USD vs $</w:t>
            </w:r>
          </w:p>
        </w:tc>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History</w:t>
            </w:r>
          </w:p>
        </w:tc>
        <w:tc>
          <w:tcPr>
            <w:tcW w:type="dxa" w:w="13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Calibri" w:cs="Calibri" w:eastAsia="Calibri" w:hAnsi="Calibri"/>
                <w:b/>
                <w:bCs/>
                <w:color w:val="333333"/>
                <w:sz w:val="20"/>
                <w:szCs w:val="20"/>
              </w:rPr>
              <w:t xml:space="preserve">5</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b w:val="false"/>
                <w:bCs w:val="false"/>
                <w:color w:val="333333"/>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333333"/>
                <w:sz w:val="20"/>
                <w:szCs w:val="20"/>
              </w:rPr>
              <w:t xml:space="preserve">BUG-L3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 Low</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Tooltip Contradiction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Dashboard</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b/>
                <w:bCs/>
                <w:color w:val="333333"/>
                <w:sz w:val="20"/>
                <w:szCs w:val="20"/>
              </w:rPr>
              <w:t xml:space="preserve">5</w:t>
            </w:r>
          </w:p>
        </w:tc>
      </w:tr>
      <w:tr>
        <w:tc>
          <w:tcPr>
            <w:tcW w:type="dxa" w:w="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Calibri" w:cs="Calibri" w:eastAsia="Calibri" w:hAnsi="Calibri"/>
                <w:b w:val="false"/>
                <w:bCs w:val="false"/>
                <w:color w:val="333333"/>
                <w:sz w:val="20"/>
                <w:szCs w:val="20"/>
              </w:rPr>
              <w:t xml:space="preserve">□</w:t>
            </w:r>
          </w:p>
        </w:tc>
        <w:tc>
          <w:tcPr>
            <w:tcW w:type="dxa" w:w="1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bCs/>
                <w:color w:val="333333"/>
                <w:sz w:val="20"/>
                <w:szCs w:val="20"/>
              </w:rPr>
              <w:t xml:space="preserve">BUG-L4</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 Low</w:t>
            </w:r>
          </w:p>
        </w:tc>
        <w:tc>
          <w:tcPr>
            <w:tcW w:type="dxa" w:w="3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Breadcrumb Stale</w:t>
            </w:r>
          </w:p>
        </w:tc>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All Pages</w:t>
            </w:r>
          </w:p>
        </w:tc>
        <w:tc>
          <w:tcPr>
            <w:tcW w:type="dxa" w:w="13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Calibri" w:cs="Calibri" w:eastAsia="Calibri" w:hAnsi="Calibri"/>
                <w:b/>
                <w:bCs/>
                <w:color w:val="333333"/>
                <w:sz w:val="20"/>
                <w:szCs w:val="20"/>
              </w:rPr>
              <w:t xml:space="preserve">5</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b w:val="false"/>
                <w:bCs w:val="false"/>
                <w:color w:val="333333"/>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333333"/>
                <w:sz w:val="20"/>
                <w:szCs w:val="20"/>
              </w:rPr>
              <w:t xml:space="preserve">BUG-L5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 Low</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Notif Count Mismatch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Header</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b/>
                <w:bCs/>
                <w:color w:val="333333"/>
                <w:sz w:val="20"/>
                <w:szCs w:val="20"/>
              </w:rPr>
              <w:t xml:space="preserve">5</w:t>
            </w:r>
          </w:p>
        </w:tc>
      </w:tr>
      <w:tr>
        <w:tc>
          <w:tcPr>
            <w:tcW w:type="dxa" w:w="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Calibri" w:cs="Calibri" w:eastAsia="Calibri" w:hAnsi="Calibri"/>
                <w:b w:val="false"/>
                <w:bCs w:val="false"/>
                <w:color w:val="333333"/>
                <w:sz w:val="20"/>
                <w:szCs w:val="20"/>
              </w:rPr>
              <w:t xml:space="preserve">□</w:t>
            </w:r>
          </w:p>
        </w:tc>
        <w:tc>
          <w:tcPr>
            <w:tcW w:type="dxa" w:w="1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bCs/>
                <w:color w:val="333333"/>
                <w:sz w:val="20"/>
                <w:szCs w:val="20"/>
              </w:rPr>
              <w:t xml:space="preserve">BUG-L6</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 Low</w:t>
            </w:r>
          </w:p>
        </w:tc>
        <w:tc>
          <w:tcPr>
            <w:tcW w:type="dxa" w:w="3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Pagination Error</w:t>
            </w:r>
          </w:p>
        </w:tc>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Holdings</w:t>
            </w:r>
          </w:p>
        </w:tc>
        <w:tc>
          <w:tcPr>
            <w:tcW w:type="dxa" w:w="13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Calibri" w:cs="Calibri" w:eastAsia="Calibri" w:hAnsi="Calibri"/>
                <w:b/>
                <w:bCs/>
                <w:color w:val="333333"/>
                <w:sz w:val="20"/>
                <w:szCs w:val="20"/>
              </w:rPr>
              <w:t xml:space="preserve">5</w:t>
            </w:r>
          </w:p>
        </w:tc>
      </w:tr>
    </w:tbl>
    <w:p>
      <w:pPr>
        <w:spacing w:before="200"/>
      </w:pPr>
    </w:p>
    <w:p>
      <w:pPr>
        <w:spacing w:after="140" w:before="0"/>
      </w:pPr>
      <w:r>
        <w:rPr>
          <w:rFonts w:ascii="Calibri" w:cs="Calibri" w:eastAsia="Calibri" w:hAnsi="Calibri"/>
          <w:b/>
          <w:bCs/>
          <w:color w:val="1A2744"/>
          <w:sz w:val="24"/>
          <w:szCs w:val="24"/>
        </w:rPr>
        <w:t xml:space="preserve">Total Possible: 180 points</w:t>
      </w:r>
      <w:r>
        <w:rPr>
          <w:rFonts w:ascii="Calibri" w:cs="Calibri" w:eastAsia="Calibri" w:hAnsi="Calibri"/>
          <w:color w:val="666666"/>
          <w:sz w:val="22"/>
          <w:szCs w:val="22"/>
        </w:rPr>
        <w:t xml:space="preserve">  (90 Critical + 60 High + 30 Low)</w:t>
      </w:r>
    </w:p>
    <w:p>
      <w:pPr>
        <w:spacing w:before="300"/>
      </w:pPr>
    </w:p>
    <w:p>
      <w:pPr>
        <w:pBdr>
          <w:top w:val="single" w:color="DDDDDD" w:sz="2" w:space="12"/>
        </w:pBdr>
        <w:spacing w:before="200"/>
        <w:jc w:val="center"/>
      </w:pPr>
      <w:r>
        <w:rPr>
          <w:rFonts w:ascii="Calibri" w:cs="Calibri" w:eastAsia="Calibri" w:hAnsi="Calibri"/>
          <w:color w:val="AAAAAA"/>
          <w:sz w:val="18"/>
          <w:szCs w:val="18"/>
        </w:rPr>
        <w:t xml:space="preserve">CATS Team — UAT Center of Excellence — Bug-a-thon Event</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Calibri" w:cs="Calibri" w:eastAsia="Calibri" w:hAnsi="Calibri"/>
      <w:b/>
      <w:bCs/>
      <w:color w:val="1A2744"/>
      <w:sz w:val="40"/>
      <w:szCs w:val="40"/>
    </w:rPr>
  </w:style>
  <w:style w:type="paragraph" w:styleId="Heading2">
    <w:name w:val="Heading 2"/>
    <w:basedOn w:val="Normal"/>
    <w:next w:val="Normal"/>
    <w:qFormat/>
    <w:pPr>
      <w:spacing w:after="160" w:before="360"/>
      <w:outlineLvl w:val="1"/>
    </w:pPr>
    <w:rPr>
      <w:rFonts w:ascii="Calibri" w:cs="Calibri" w:eastAsia="Calibri" w:hAnsi="Calibri"/>
      <w:b/>
      <w:bCs/>
      <w:color w:val="1A2744"/>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2026-05-03T06:51:01.109Z</dcterms:created>
  <dcterms:modified xsi:type="dcterms:W3CDTF">2026-05-03T06:51:01.128Z</dcterms:modified>
</cp:coreProperties>
</file>

<file path=docProps/custom.xml><?xml version="1.0" encoding="utf-8"?>
<Properties xmlns="http://schemas.openxmlformats.org/officeDocument/2006/custom-properties" xmlns:vt="http://schemas.openxmlformats.org/officeDocument/2006/docPropsVTypes"/>
</file>