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color w:val="212529"/>
          <w:sz w:val="21"/>
          <w:szCs w:val="21"/>
          <w:highlight w:val="white"/>
          <w:rtl w:val="0"/>
        </w:rPr>
        <w:t xml:space="preserve">Answer the previous question for the case when the keys are inserted in descending order.</w:t>
      </w:r>
    </w:p>
    <w:p w:rsidR="00000000" w:rsidDel="00000000" w:rsidP="00000000" w:rsidRDefault="00000000" w:rsidRPr="00000000" w14:paraId="00000001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color w:val="212529"/>
          <w:sz w:val="21"/>
          <w:szCs w:val="21"/>
          <w:highlight w:val="white"/>
        </w:rPr>
        <w:drawing>
          <wp:inline distB="114300" distT="114300" distL="114300" distR="114300">
            <wp:extent cx="6448425" cy="4604385"/>
            <wp:effectExtent b="922020" l="-922019" r="-922019" t="92202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923" l="0" r="3423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48425" cy="460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080" w:top="1080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