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F3864"/>
          <w:sz w:val="34"/>
          <w:szCs w:val="34"/>
        </w:rPr>
        <w:t xml:space="preserve">Field Rules — Spec Deviation Report</w:t>
      </w:r>
    </w:p>
    <w:p>
      <w:pPr>
        <w:pBdr>
          <w:bottom w:val="single" w:color="1F3864" w:sz="8" w:space="6"/>
        </w:pBdr>
        <w:spacing w:after="240"/>
      </w:pPr>
      <w:r>
        <w:rPr>
          <w:rFonts w:ascii="Calibri" w:cs="Calibri" w:eastAsia="Calibri" w:hAnsi="Calibri"/>
          <w:color w:val="5A5A5A"/>
          <w:sz w:val="19"/>
          <w:szCs w:val="19"/>
        </w:rPr>
        <w:t xml:space="preserve">Revision 2 · 25 September 2026 · assessed against field-rules-spec.md and Figma frames 136:7242 and 140:11943 (file 3FbwQVGxTF4rwT3iE9NlNC). Every issue carries the spec clause that defines the fix.</w:t>
      </w:r>
    </w:p>
    <w:p>
      <w:pPr>
        <w:spacing w:after="120" w:line="276"/>
      </w:pPr>
      <w:r>
        <w:rPr>
          <w:rFonts w:ascii="Calibri" w:cs="Calibri" w:eastAsia="Calibri" w:hAnsi="Calibri"/>
          <w:b/>
          <w:bCs/>
          <w:sz w:val="21"/>
          <w:szCs w:val="21"/>
        </w:rPr>
        <w:t xml:space="preserve">Summary: </w:t>
      </w:r>
      <w:r>
        <w:rPr>
          <w:rFonts w:ascii="Calibri" w:cs="Calibri" w:eastAsia="Calibri" w:hAnsi="Calibri"/>
          <w:sz w:val="21"/>
          <w:szCs w:val="21"/>
        </w:rPr>
        <w:t xml:space="preserve">25 issues — 9 functional, 8 accessibility, 8 visual. All 23 from revision 1 are confirmed against the spec; two have changed materially and two are new.</w:t>
      </w:r>
    </w:p>
    <w:p>
      <w:pPr>
        <w:spacing w:after="120" w:line="276"/>
      </w:pPr>
      <w:r>
        <w:rPr>
          <w:rFonts w:ascii="Calibri" w:cs="Calibri" w:eastAsia="Calibri" w:hAnsi="Calibri"/>
          <w:b/>
          <w:bCs/>
          <w:color w:val="BF6C00"/>
          <w:sz w:val="21"/>
          <w:szCs w:val="21"/>
        </w:rPr>
        <w:t xml:space="preserve">Changed since rev 1 — </w:t>
      </w:r>
      <w:r>
        <w:rPr>
          <w:rFonts w:ascii="Calibri" w:cs="Calibri" w:eastAsia="Calibri" w:hAnsi="Calibri"/>
          <w:sz w:val="21"/>
          <w:szCs w:val="21"/>
        </w:rPr>
        <w:t xml:space="preserve">F5 was overstated. Re-testing showed five of the six values do persist across a step change; only the unit resets. F3 is now precise: Max mileage is checked for empty only, Buffer is not checked at all.</w:t>
      </w:r>
    </w:p>
    <w:p>
      <w:pPr>
        <w:spacing w:after="120" w:line="276"/>
      </w:pPr>
      <w:r>
        <w:rPr>
          <w:rFonts w:ascii="Calibri" w:cs="Calibri" w:eastAsia="Calibri" w:hAnsi="Calibri"/>
          <w:b/>
          <w:bCs/>
          <w:color w:val="BF6C00"/>
          <w:sz w:val="21"/>
          <w:szCs w:val="21"/>
        </w:rPr>
        <w:t xml:space="preserve">New — </w:t>
      </w:r>
      <w:r>
        <w:rPr>
          <w:rFonts w:ascii="Calibri" w:cs="Calibri" w:eastAsia="Calibri" w:hAnsi="Calibri"/>
          <w:sz w:val="21"/>
          <w:szCs w:val="21"/>
        </w:rPr>
        <w:t xml:space="preserve">F9 (neither Route Limits field has an upper bound) and V8 (Route Limits block 5px tall, shifting the sections below).</w:t>
      </w:r>
    </w:p>
    <w:p>
      <w:pPr>
        <w:spacing w:after="120" w:line="276"/>
      </w:pPr>
      <w:r>
        <w:rPr>
          <w:rFonts w:ascii="Calibri" w:cs="Calibri" w:eastAsia="Calibri" w:hAnsi="Calibri"/>
          <w:b/>
          <w:bCs/>
          <w:sz w:val="21"/>
          <w:szCs w:val="21"/>
        </w:rPr>
        <w:t xml:space="preserve">The one blocker is F1: </w:t>
      </w:r>
      <w:r>
        <w:rPr>
          <w:rFonts w:ascii="Calibri" w:cs="Calibri" w:eastAsia="Calibri" w:hAnsi="Calibri"/>
          <w:sz w:val="21"/>
          <w:szCs w:val="21"/>
        </w:rPr>
        <w:t xml:space="preserve">the step’s container collapses to a 58px window, so the form cannot be reached at all. Everything below it was tested with that height overridden.</w:t>
      </w:r>
    </w:p>
    <w:p>
      <w:pPr>
        <w:pStyle w:val="Heading1"/>
        <w:spacing w:after="140" w:before="300"/>
      </w:pPr>
      <w:r>
        <w:rPr>
          <w:rFonts w:ascii="Calibri" w:cs="Calibri" w:eastAsia="Calibri" w:hAnsi="Calibri"/>
          <w:b/>
          <w:bCs/>
          <w:color w:val="1F3864"/>
          <w:sz w:val="28"/>
          <w:szCs w:val="28"/>
        </w:rPr>
        <w:t xml:space="preserve">1. Validation coverage today</w:t>
      </w:r>
    </w:p>
    <w:p>
      <w:pPr>
        <w:spacing w:after="120" w:line="276"/>
      </w:pPr>
      <w:r>
        <w:rPr>
          <w:rFonts w:ascii="Calibri" w:cs="Calibri" w:eastAsia="Calibri" w:hAnsi="Calibri"/>
          <w:sz w:val="21"/>
          <w:szCs w:val="21"/>
        </w:rPr>
        <w:t xml:space="preserve">Spec 7 requires all three fields validated on Next, each blocked failure showing a border, a message, focus and an announcement. This is what the build actually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300"/>
        <w:gridCol w:w="2200"/>
        <w:gridCol w:w="1460"/>
      </w:tblGrid>
      <w:tr>
        <w:trPr>
          <w:tblHeader/>
        </w:trPr>
        <w:tc>
          <w:tcPr>
            <w:tcW w:type="dxa" w:w="1900"/>
            <w:shd w:fill="EDF0F6" w:color="auto" w:val="clear"/>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Field</w:t>
            </w:r>
          </w:p>
        </w:tc>
        <w:tc>
          <w:tcPr>
            <w:tcW w:type="dxa" w:w="1500"/>
            <w:shd w:fill="EDF0F6" w:color="auto" w:val="clear"/>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Empty</w:t>
            </w:r>
          </w:p>
        </w:tc>
        <w:tc>
          <w:tcPr>
            <w:tcW w:type="dxa" w:w="2300"/>
            <w:shd w:fill="EDF0F6" w:color="auto" w:val="clear"/>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Non-numeric</w:t>
            </w:r>
          </w:p>
        </w:tc>
        <w:tc>
          <w:tcPr>
            <w:tcW w:type="dxa" w:w="2200"/>
            <w:shd w:fill="EDF0F6" w:color="auto" w:val="clear"/>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Above range</w:t>
            </w:r>
          </w:p>
        </w:tc>
        <w:tc>
          <w:tcPr>
            <w:tcW w:type="dxa" w:w="1460"/>
            <w:shd w:fill="EDF0F6" w:color="auto" w:val="clear"/>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Feedback shown</w:t>
            </w:r>
          </w:p>
        </w:tc>
      </w:tr>
      <w:tr>
        <w:trPr>
          <w:cantSplit/>
        </w:trPr>
        <w:tc>
          <w:tcPr>
            <w:tcW w:type="dxa" w:w="190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Max mileage per day</w:t>
            </w:r>
          </w:p>
        </w:tc>
        <w:tc>
          <w:tcPr>
            <w:tcW w:type="dxa" w:w="1500"/>
            <w:tcMar>
              <w:top w:type="dxa" w:w="55"/>
              <w:left w:type="dxa" w:w="90"/>
              <w:bottom w:type="dxa" w:w="55"/>
              <w:right w:type="dxa" w:w="90"/>
            </w:tcMar>
          </w:tcPr>
          <w:p>
            <w:pPr>
              <w:spacing w:after="25" w:before="25" w:line="255"/>
            </w:pPr>
            <w:r>
              <w:rPr>
                <w:rFonts w:ascii="Calibri" w:cs="Calibri" w:eastAsia="Calibri" w:hAnsi="Calibri"/>
                <w:b/>
                <w:bCs/>
                <w:color w:val="1E7B34"/>
                <w:sz w:val="17"/>
                <w:szCs w:val="17"/>
              </w:rPr>
              <w:t xml:space="preserve">Blocked</w:t>
            </w:r>
          </w:p>
        </w:tc>
        <w:tc>
          <w:tcPr>
            <w:tcW w:type="dxa" w:w="23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Accepted — ab-12.5xy advanced</w:t>
            </w:r>
          </w:p>
        </w:tc>
        <w:tc>
          <w:tcPr>
            <w:tcW w:type="dxa" w:w="22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Accepted — 5000 advanced</w:t>
            </w:r>
          </w:p>
        </w:tc>
        <w:tc>
          <w:tcPr>
            <w:tcW w:type="dxa" w:w="146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None</w:t>
            </w:r>
          </w:p>
        </w:tc>
      </w:tr>
      <w:tr>
        <w:trPr>
          <w:cantSplit/>
        </w:trPr>
        <w:tc>
          <w:tcPr>
            <w:tcW w:type="dxa" w:w="190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Buffer between visits</w:t>
            </w:r>
          </w:p>
        </w:tc>
        <w:tc>
          <w:tcPr>
            <w:tcW w:type="dxa" w:w="15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Accepted — advanced blank</w:t>
            </w:r>
          </w:p>
        </w:tc>
        <w:tc>
          <w:tcPr>
            <w:tcW w:type="dxa" w:w="23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Accepted — -9.75abc advanced</w:t>
            </w:r>
          </w:p>
        </w:tc>
        <w:tc>
          <w:tcPr>
            <w:tcW w:type="dxa" w:w="22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Accepted — 500 advanced</w:t>
            </w:r>
          </w:p>
        </w:tc>
        <w:tc>
          <w:tcPr>
            <w:tcW w:type="dxa" w:w="146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None</w:t>
            </w:r>
          </w:p>
        </w:tc>
      </w:tr>
      <w:tr>
        <w:trPr>
          <w:cantSplit/>
        </w:trPr>
        <w:tc>
          <w:tcPr>
            <w:tcW w:type="dxa" w:w="190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Allowed check-in radius</w:t>
            </w:r>
          </w:p>
        </w:tc>
        <w:tc>
          <w:tcPr>
            <w:tcW w:type="dxa" w:w="1500"/>
            <w:tcMar>
              <w:top w:type="dxa" w:w="55"/>
              <w:left w:type="dxa" w:w="90"/>
              <w:bottom w:type="dxa" w:w="55"/>
              <w:right w:type="dxa" w:w="90"/>
            </w:tcMar>
          </w:tcPr>
          <w:p>
            <w:pPr>
              <w:spacing w:after="25" w:before="25" w:line="255"/>
            </w:pPr>
            <w:r>
              <w:rPr>
                <w:rFonts w:ascii="Calibri" w:cs="Calibri" w:eastAsia="Calibri" w:hAnsi="Calibri"/>
                <w:b/>
                <w:bCs/>
                <w:color w:val="1E7B34"/>
                <w:sz w:val="17"/>
                <w:szCs w:val="17"/>
              </w:rPr>
              <w:t xml:space="preserve">Blocked</w:t>
            </w:r>
          </w:p>
        </w:tc>
        <w:tc>
          <w:tcPr>
            <w:tcW w:type="dxa" w:w="23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Not reached</w:t>
            </w:r>
          </w:p>
        </w:tc>
        <w:tc>
          <w:tcPr>
            <w:tcW w:type="dxa" w:w="2200"/>
            <w:tcMar>
              <w:top w:type="dxa" w:w="55"/>
              <w:left w:type="dxa" w:w="90"/>
              <w:bottom w:type="dxa" w:w="55"/>
              <w:right w:type="dxa" w:w="90"/>
            </w:tcMar>
          </w:tcPr>
          <w:p>
            <w:pPr>
              <w:spacing w:after="25" w:before="25" w:line="255"/>
            </w:pPr>
            <w:r>
              <w:rPr>
                <w:rFonts w:ascii="Calibri" w:cs="Calibri" w:eastAsia="Calibri" w:hAnsi="Calibri"/>
                <w:b/>
                <w:bCs/>
                <w:color w:val="1E7B34"/>
                <w:sz w:val="17"/>
                <w:szCs w:val="17"/>
              </w:rPr>
              <w:t xml:space="preserve">Blocked — 5 and 500</w:t>
            </w:r>
          </w:p>
        </w:tc>
        <w:tc>
          <w:tcPr>
            <w:tcW w:type="dxa" w:w="146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None</w:t>
            </w:r>
          </w:p>
        </w:tc>
      </w:tr>
    </w:tbl>
    <w:p>
      <w:pPr>
        <w:spacing w:after="120" w:line="276"/>
      </w:pPr>
      <w:r>
        <w:rPr>
          <w:rFonts w:ascii="Calibri" w:cs="Calibri" w:eastAsia="Calibri" w:hAnsi="Calibri"/>
          <w:i/>
          <w:iCs/>
          <w:color w:val="5A5A5A"/>
          <w:sz w:val="21"/>
          <w:szCs w:val="21"/>
        </w:rPr>
        <w:t xml:space="preserve">Radius is the only field with a working rule, and even it reports nothing. Every other cell is a spec 7 failure.</w:t>
      </w:r>
    </w:p>
    <w:p>
      <w:pPr>
        <w:pStyle w:val="Heading1"/>
        <w:spacing w:after="140" w:before="300"/>
      </w:pPr>
      <w:r>
        <w:rPr>
          <w:rFonts w:ascii="Calibri" w:cs="Calibri" w:eastAsia="Calibri" w:hAnsi="Calibri"/>
          <w:b/>
          <w:bCs/>
          <w:color w:val="1F3864"/>
          <w:sz w:val="28"/>
          <w:szCs w:val="28"/>
        </w:rPr>
        <w:t xml:space="preserve">2. Functional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0"/>
        <w:gridCol w:w="1500"/>
        <w:gridCol w:w="6640"/>
      </w:tblGrid>
      <w:tr>
        <w:trPr>
          <w:tblHeader/>
        </w:trPr>
        <w:tc>
          <w:tcPr>
            <w:tcW w:type="dxa" w:w="520"/>
            <w:shd w:fill="EDF0F6" w:color="auto" w:val="clear"/>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ID</w:t>
            </w:r>
          </w:p>
        </w:tc>
        <w:tc>
          <w:tcPr>
            <w:tcW w:type="dxa" w:w="700"/>
            <w:shd w:fill="EDF0F6" w:color="auto" w:val="clear"/>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Sev</w:t>
            </w:r>
          </w:p>
        </w:tc>
        <w:tc>
          <w:tcPr>
            <w:tcW w:type="dxa" w:w="1500"/>
            <w:shd w:fill="EDF0F6" w:color="auto" w:val="clear"/>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Clause</w:t>
            </w:r>
          </w:p>
        </w:tc>
        <w:tc>
          <w:tcPr>
            <w:tcW w:type="dxa" w:w="6640"/>
            <w:shd w:fill="EDF0F6" w:color="auto" w:val="clear"/>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Issue</w:t>
            </w:r>
          </w:p>
        </w:tc>
      </w:tr>
      <w:tr>
        <w:trPr>
          <w:cantSplit/>
        </w:trPr>
        <w:tc>
          <w:tcPr>
            <w:tcW w:type="dxa" w:w="52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F1</w:t>
            </w:r>
          </w:p>
        </w:tc>
        <w:tc>
          <w:tcPr>
            <w:tcW w:type="dxa" w:w="7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High</w:t>
            </w:r>
          </w:p>
        </w:tc>
        <w:tc>
          <w:tcPr>
            <w:tcW w:type="dxa" w:w="15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9.1.1–9.1.3</w:t>
            </w:r>
          </w:p>
        </w:tc>
        <w:tc>
          <w:tcPr>
            <w:tcW w:type="dxa" w:w="664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Wizard body collapses to a 58px window — the step is unreachable. .bpWrapper carries an inline height:200px while its container is 732px, so .bpWizardBody renders 58px tall against 684px of content. Reproduced by navigating Field Rules → Beat Engine → Field Rules; firing a resize event does not recalculate it. The rest of this audit was run with that height overridden to 740px.</w:t>
            </w:r>
          </w:p>
        </w:tc>
      </w:tr>
      <w:tr>
        <w:trPr>
          <w:cantSplit/>
        </w:trPr>
        <w:tc>
          <w:tcPr>
            <w:tcW w:type="dxa" w:w="52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F2</w:t>
            </w:r>
          </w:p>
        </w:tc>
        <w:tc>
          <w:tcPr>
            <w:tcW w:type="dxa" w:w="7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High</w:t>
            </w:r>
          </w:p>
        </w:tc>
        <w:tc>
          <w:tcPr>
            <w:tcW w:type="dxa" w:w="15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4.1, 4.1.1, 4.1.2, 4.2, 4.2.1</w:t>
            </w:r>
          </w:p>
        </w:tc>
        <w:tc>
          <w:tcPr>
            <w:tcW w:type="dxa" w:w="664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No input filtering on the numeric fields. Max mileage kept ab-12.5xy in full (spec: 12.5) and Buffer kept -9.75abc (spec: 975). Both are type="text" with maxlength="19" as the only constraint. No filter is bound to the input event either, so paste is unfiltered by the same route (4.1.2).</w:t>
            </w:r>
          </w:p>
        </w:tc>
      </w:tr>
      <w:tr>
        <w:trPr>
          <w:cantSplit/>
        </w:trPr>
        <w:tc>
          <w:tcPr>
            <w:tcW w:type="dxa" w:w="52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F3</w:t>
            </w:r>
          </w:p>
        </w:tc>
        <w:tc>
          <w:tcPr>
            <w:tcW w:type="dxa" w:w="7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High</w:t>
            </w:r>
          </w:p>
        </w:tc>
        <w:tc>
          <w:tcPr>
            <w:tcW w:type="dxa" w:w="15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7, 4.1.3, 4.1.4, 4.2.2, 4.2.3</w:t>
            </w:r>
          </w:p>
        </w:tc>
        <w:tc>
          <w:tcPr>
            <w:tcW w:type="dxa" w:w="664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Validation coverage is partial and inconsistent — see the matrix above. Max mileage is checked for empty only; any non-empty string passes, including letters. Buffer is not validated at all, not even for empty. Radius is the only field with a real rule. Spec 7 requires every field on the step to be validated on Next.</w:t>
            </w:r>
          </w:p>
        </w:tc>
      </w:tr>
      <w:tr>
        <w:trPr>
          <w:cantSplit/>
        </w:trPr>
        <w:tc>
          <w:tcPr>
            <w:tcW w:type="dxa" w:w="52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F4</w:t>
            </w:r>
          </w:p>
        </w:tc>
        <w:tc>
          <w:tcPr>
            <w:tcW w:type="dxa" w:w="7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High</w:t>
            </w:r>
          </w:p>
        </w:tc>
        <w:tc>
          <w:tcPr>
            <w:tcW w:type="dxa" w:w="15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7, 6.1.2, 6.1.3, 6.1.4</w:t>
            </w:r>
          </w:p>
        </w:tc>
        <w:tc>
          <w:tcPr>
            <w:tcW w:type="dxa" w:w="664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A blocked Next does nothing visible. Radius 5, 500 and empty, and empty Max mileage, all stop the wizard with no error border, no message, no toast and no focus move. Spec 7 calls this out as the worst failure on the step: the user cannot learn why Next has stopped.</w:t>
            </w:r>
          </w:p>
        </w:tc>
      </w:tr>
      <w:tr>
        <w:trPr>
          <w:cantSplit/>
        </w:trPr>
        <w:tc>
          <w:tcPr>
            <w:tcW w:type="dxa" w:w="52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F9</w:t>
            </w:r>
          </w:p>
        </w:tc>
        <w:tc>
          <w:tcPr>
            <w:tcW w:type="dxa" w:w="7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High</w:t>
            </w:r>
          </w:p>
        </w:tc>
        <w:tc>
          <w:tcPr>
            <w:tcW w:type="dxa" w:w="15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4.1 Range, 4.1.4, 4.2 Range, 4.2.3</w:t>
            </w:r>
          </w:p>
        </w:tc>
        <w:tc>
          <w:tcPr>
            <w:tcW w:type="dxa" w:w="664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No upper bound on either Route Limits field. Max mileage 5000 (proposed max 999) and Buffer 500 (proposed max 240) both advanced. NEW — not in the previous report.</w:t>
            </w:r>
          </w:p>
        </w:tc>
      </w:tr>
      <w:tr>
        <w:trPr>
          <w:cantSplit/>
        </w:trPr>
        <w:tc>
          <w:tcPr>
            <w:tcW w:type="dxa" w:w="52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F6</w:t>
            </w:r>
          </w:p>
        </w:tc>
        <w:tc>
          <w:tcPr>
            <w:tcW w:type="dxa" w:w="700"/>
            <w:tcMar>
              <w:top w:type="dxa" w:w="55"/>
              <w:left w:type="dxa" w:w="90"/>
              <w:bottom w:type="dxa" w:w="55"/>
              <w:right w:type="dxa" w:w="90"/>
            </w:tcMar>
          </w:tcPr>
          <w:p>
            <w:pPr>
              <w:spacing w:after="25" w:before="25" w:line="255"/>
            </w:pPr>
            <w:r>
              <w:rPr>
                <w:rFonts w:ascii="Calibri" w:cs="Calibri" w:eastAsia="Calibri" w:hAnsi="Calibri"/>
                <w:b/>
                <w:bCs/>
                <w:color w:val="BF6C00"/>
                <w:sz w:val="17"/>
                <w:szCs w:val="17"/>
              </w:rPr>
              <w:t xml:space="preserve">Med</w:t>
            </w:r>
          </w:p>
        </w:tc>
        <w:tc>
          <w:tcPr>
            <w:tcW w:type="dxa" w:w="15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8.2, 8.3</w:t>
            </w:r>
          </w:p>
        </w:tc>
        <w:tc>
          <w:tcPr>
            <w:tcW w:type="dxa" w:w="664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Save as Draft is missing from the footer. Spec requires Previous | Cancel · Save as Draft · Next; the build has Previous | Cancel · Next.</w:t>
            </w:r>
          </w:p>
        </w:tc>
      </w:tr>
      <w:tr>
        <w:trPr>
          <w:cantSplit/>
        </w:trPr>
        <w:tc>
          <w:tcPr>
            <w:tcW w:type="dxa" w:w="52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F5</w:t>
            </w:r>
          </w:p>
        </w:tc>
        <w:tc>
          <w:tcPr>
            <w:tcW w:type="dxa" w:w="700"/>
            <w:tcMar>
              <w:top w:type="dxa" w:w="55"/>
              <w:left w:type="dxa" w:w="90"/>
              <w:bottom w:type="dxa" w:w="55"/>
              <w:right w:type="dxa" w:w="90"/>
            </w:tcMar>
          </w:tcPr>
          <w:p>
            <w:pPr>
              <w:spacing w:after="25" w:before="25" w:line="255"/>
            </w:pPr>
            <w:r>
              <w:rPr>
                <w:rFonts w:ascii="Calibri" w:cs="Calibri" w:eastAsia="Calibri" w:hAnsi="Calibri"/>
                <w:b/>
                <w:bCs/>
                <w:color w:val="BF6C00"/>
                <w:sz w:val="17"/>
                <w:szCs w:val="17"/>
              </w:rPr>
              <w:t xml:space="preserve">Med</w:t>
            </w:r>
          </w:p>
        </w:tc>
        <w:tc>
          <w:tcPr>
            <w:tcW w:type="dxa" w:w="15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8.1</w:t>
            </w:r>
          </w:p>
        </w:tc>
        <w:tc>
          <w:tcPr>
            <w:tcW w:type="dxa" w:w="664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The unit resets to km on return. CORRECTED — the previous report said all values were lost; that was wrong. Re-tested twice: both numbers, the radius, both toggles and the check-in mode all persist across Next → Previous. Only the unit dropdown reverts from mile to km. Separately, values that fail validation are discarded rather than kept for correction.</w:t>
            </w:r>
          </w:p>
        </w:tc>
      </w:tr>
      <w:tr>
        <w:trPr>
          <w:cantSplit/>
        </w:trPr>
        <w:tc>
          <w:tcPr>
            <w:tcW w:type="dxa" w:w="52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F8</w:t>
            </w:r>
          </w:p>
        </w:tc>
        <w:tc>
          <w:tcPr>
            <w:tcW w:type="dxa" w:w="700"/>
            <w:tcMar>
              <w:top w:type="dxa" w:w="55"/>
              <w:left w:type="dxa" w:w="90"/>
              <w:bottom w:type="dxa" w:w="55"/>
              <w:right w:type="dxa" w:w="90"/>
            </w:tcMar>
          </w:tcPr>
          <w:p>
            <w:pPr>
              <w:spacing w:after="25" w:before="25" w:line="255"/>
            </w:pPr>
            <w:r>
              <w:rPr>
                <w:rFonts w:ascii="Calibri" w:cs="Calibri" w:eastAsia="Calibri" w:hAnsi="Calibri"/>
                <w:b/>
                <w:bCs/>
                <w:color w:val="7A7A7A"/>
                <w:sz w:val="17"/>
                <w:szCs w:val="17"/>
              </w:rPr>
              <w:t xml:space="preserve">Low</w:t>
            </w:r>
          </w:p>
        </w:tc>
        <w:tc>
          <w:tcPr>
            <w:tcW w:type="dxa" w:w="15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4.1.5</w:t>
            </w:r>
          </w:p>
        </w:tc>
        <w:tc>
          <w:tcPr>
            <w:tcW w:type="dxa" w:w="664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Switching km → mile relabels the field and leaves the number untouched — no conversion and no re-validation. Spec 4.1.5 requires one or the other.</w:t>
            </w:r>
          </w:p>
        </w:tc>
      </w:tr>
      <w:tr>
        <w:trPr>
          <w:cantSplit/>
        </w:trPr>
        <w:tc>
          <w:tcPr>
            <w:tcW w:type="dxa" w:w="52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F7</w:t>
            </w:r>
          </w:p>
        </w:tc>
        <w:tc>
          <w:tcPr>
            <w:tcW w:type="dxa" w:w="700"/>
            <w:tcMar>
              <w:top w:type="dxa" w:w="55"/>
              <w:left w:type="dxa" w:w="90"/>
              <w:bottom w:type="dxa" w:w="55"/>
              <w:right w:type="dxa" w:w="90"/>
            </w:tcMar>
          </w:tcPr>
          <w:p>
            <w:pPr>
              <w:spacing w:after="25" w:before="25" w:line="255"/>
            </w:pPr>
            <w:r>
              <w:rPr>
                <w:rFonts w:ascii="Calibri" w:cs="Calibri" w:eastAsia="Calibri" w:hAnsi="Calibri"/>
                <w:b/>
                <w:bCs/>
                <w:color w:val="7A7A7A"/>
                <w:sz w:val="17"/>
                <w:szCs w:val="17"/>
              </w:rPr>
              <w:t xml:space="preserve">Low</w:t>
            </w:r>
          </w:p>
        </w:tc>
        <w:tc>
          <w:tcPr>
            <w:tcW w:type="dxa" w:w="15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6.2.4</w:t>
            </w:r>
          </w:p>
        </w:tc>
        <w:tc>
          <w:tcPr>
            <w:tcW w:type="dxa" w:w="664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Space on a focused check-in-mode card selects it but also scrolls the panel; the default scroll is not prevented.</w:t>
            </w:r>
          </w:p>
        </w:tc>
      </w:tr>
    </w:tbl>
    <w:p>
      <w:r>
        <w:br w:type="page"/>
      </w:r>
    </w:p>
    <w:p>
      <w:pPr>
        <w:pStyle w:val="Heading1"/>
        <w:spacing w:after="140" w:before="300"/>
      </w:pPr>
      <w:r>
        <w:rPr>
          <w:rFonts w:ascii="Calibri" w:cs="Calibri" w:eastAsia="Calibri" w:hAnsi="Calibri"/>
          <w:b/>
          <w:bCs/>
          <w:color w:val="1F3864"/>
          <w:sz w:val="28"/>
          <w:szCs w:val="28"/>
        </w:rPr>
        <w:t xml:space="preserve">3.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0"/>
        <w:gridCol w:w="1100"/>
        <w:gridCol w:w="7040"/>
      </w:tblGrid>
      <w:tr>
        <w:trPr>
          <w:tblHeader/>
        </w:trPr>
        <w:tc>
          <w:tcPr>
            <w:tcW w:type="dxa" w:w="520"/>
            <w:shd w:fill="EDF0F6" w:color="auto" w:val="clear"/>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ID</w:t>
            </w:r>
          </w:p>
        </w:tc>
        <w:tc>
          <w:tcPr>
            <w:tcW w:type="dxa" w:w="700"/>
            <w:shd w:fill="EDF0F6" w:color="auto" w:val="clear"/>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Sev</w:t>
            </w:r>
          </w:p>
        </w:tc>
        <w:tc>
          <w:tcPr>
            <w:tcW w:type="dxa" w:w="1100"/>
            <w:shd w:fill="EDF0F6" w:color="auto" w:val="clear"/>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Clause</w:t>
            </w:r>
          </w:p>
        </w:tc>
        <w:tc>
          <w:tcPr>
            <w:tcW w:type="dxa" w:w="7040"/>
            <w:shd w:fill="EDF0F6" w:color="auto" w:val="clear"/>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Issue</w:t>
            </w:r>
          </w:p>
        </w:tc>
      </w:tr>
      <w:tr>
        <w:trPr>
          <w:cantSplit/>
        </w:trPr>
        <w:tc>
          <w:tcPr>
            <w:tcW w:type="dxa" w:w="52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A1</w:t>
            </w:r>
          </w:p>
        </w:tc>
        <w:tc>
          <w:tcPr>
            <w:tcW w:type="dxa" w:w="7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High</w:t>
            </w:r>
          </w:p>
        </w:tc>
        <w:tc>
          <w:tcPr>
            <w:tcW w:type="dxa" w:w="11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9.2.1</w:t>
            </w:r>
          </w:p>
        </w:tc>
        <w:tc>
          <w:tcPr>
            <w:tcW w:type="dxa" w:w="704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Neither toggle has an accessible name. Each is role="switch" with aria-labelledby pointing at an element containing only whitespace — exactly the case 9.2.1 rules out. The visible labels are separate text nodes.</w:t>
            </w:r>
          </w:p>
        </w:tc>
      </w:tr>
      <w:tr>
        <w:trPr>
          <w:cantSplit/>
        </w:trPr>
        <w:tc>
          <w:tcPr>
            <w:tcW w:type="dxa" w:w="52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A2</w:t>
            </w:r>
          </w:p>
        </w:tc>
        <w:tc>
          <w:tcPr>
            <w:tcW w:type="dxa" w:w="7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High</w:t>
            </w:r>
          </w:p>
        </w:tc>
        <w:tc>
          <w:tcPr>
            <w:tcW w:type="dxa" w:w="11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9.2.2</w:t>
            </w:r>
          </w:p>
        </w:tc>
        <w:tc>
          <w:tcPr>
            <w:tcW w:type="dxa" w:w="704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Neither toggle exposes its state. role="switch" is declared but aria-checked is absent on and off. As 9.2.2 notes, the native checked property stops mapping once the role is overridden.</w:t>
            </w:r>
          </w:p>
        </w:tc>
      </w:tr>
      <w:tr>
        <w:trPr>
          <w:cantSplit/>
        </w:trPr>
        <w:tc>
          <w:tcPr>
            <w:tcW w:type="dxa" w:w="52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A3</w:t>
            </w:r>
          </w:p>
        </w:tc>
        <w:tc>
          <w:tcPr>
            <w:tcW w:type="dxa" w:w="7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High</w:t>
            </w:r>
          </w:p>
        </w:tc>
        <w:tc>
          <w:tcPr>
            <w:tcW w:type="dxa" w:w="11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9.2.3</w:t>
            </w:r>
          </w:p>
        </w:tc>
        <w:tc>
          <w:tcPr>
            <w:tcW w:type="dxa" w:w="704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No visible focus indicator on any control. The cards compute outline:none with no box-shadow or border change; the switch inputs are opacity:0 at 13×13 and their visible wrapper also has outline:none. WCAG 2.4.7.</w:t>
            </w:r>
          </w:p>
        </w:tc>
      </w:tr>
      <w:tr>
        <w:trPr>
          <w:cantSplit/>
        </w:trPr>
        <w:tc>
          <w:tcPr>
            <w:tcW w:type="dxa" w:w="52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A4</w:t>
            </w:r>
          </w:p>
        </w:tc>
        <w:tc>
          <w:tcPr>
            <w:tcW w:type="dxa" w:w="7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High</w:t>
            </w:r>
          </w:p>
        </w:tc>
        <w:tc>
          <w:tcPr>
            <w:tcW w:type="dxa" w:w="11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9.2.4</w:t>
            </w:r>
          </w:p>
        </w:tc>
        <w:tc>
          <w:tcPr>
            <w:tcW w:type="dxa" w:w="704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The three numeric inputs have no programmatic label — no id, name, &lt;label for&gt;, aria-label or aria-labelledby.</w:t>
            </w:r>
          </w:p>
        </w:tc>
      </w:tr>
      <w:tr>
        <w:trPr>
          <w:cantSplit/>
        </w:trPr>
        <w:tc>
          <w:tcPr>
            <w:tcW w:type="dxa" w:w="52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A5</w:t>
            </w:r>
          </w:p>
        </w:tc>
        <w:tc>
          <w:tcPr>
            <w:tcW w:type="dxa" w:w="7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High</w:t>
            </w:r>
          </w:p>
        </w:tc>
        <w:tc>
          <w:tcPr>
            <w:tcW w:type="dxa" w:w="11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9.2.8, 7</w:t>
            </w:r>
          </w:p>
        </w:tc>
        <w:tc>
          <w:tcPr>
            <w:tcW w:type="dxa" w:w="704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A blocked Next is not announced. No role="alert", no live region and no focus move to the offending field.</w:t>
            </w:r>
          </w:p>
        </w:tc>
      </w:tr>
      <w:tr>
        <w:trPr>
          <w:cantSplit/>
        </w:trPr>
        <w:tc>
          <w:tcPr>
            <w:tcW w:type="dxa" w:w="52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A6</w:t>
            </w:r>
          </w:p>
        </w:tc>
        <w:tc>
          <w:tcPr>
            <w:tcW w:type="dxa" w:w="700"/>
            <w:tcMar>
              <w:top w:type="dxa" w:w="55"/>
              <w:left w:type="dxa" w:w="90"/>
              <w:bottom w:type="dxa" w:w="55"/>
              <w:right w:type="dxa" w:w="90"/>
            </w:tcMar>
          </w:tcPr>
          <w:p>
            <w:pPr>
              <w:spacing w:after="25" w:before="25" w:line="255"/>
            </w:pPr>
            <w:r>
              <w:rPr>
                <w:rFonts w:ascii="Calibri" w:cs="Calibri" w:eastAsia="Calibri" w:hAnsi="Calibri"/>
                <w:b/>
                <w:bCs/>
                <w:color w:val="BF6C00"/>
                <w:sz w:val="17"/>
                <w:szCs w:val="17"/>
              </w:rPr>
              <w:t xml:space="preserve">Med</w:t>
            </w:r>
          </w:p>
        </w:tc>
        <w:tc>
          <w:tcPr>
            <w:tcW w:type="dxa" w:w="11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9.2.5, 6.2.5</w:t>
            </w:r>
          </w:p>
        </w:tc>
        <w:tc>
          <w:tcPr>
            <w:tcW w:type="dxa" w:w="704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Check-in mode is two independent buttons, not a radio group. Both are role="button" with an aria-label; neither carries aria-pressed and the container has no role="radiogroup". Arrow keys were tested and do nothing — focus and selection both stay put.</w:t>
            </w:r>
          </w:p>
        </w:tc>
      </w:tr>
      <w:tr>
        <w:trPr>
          <w:cantSplit/>
        </w:trPr>
        <w:tc>
          <w:tcPr>
            <w:tcW w:type="dxa" w:w="52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A7</w:t>
            </w:r>
          </w:p>
        </w:tc>
        <w:tc>
          <w:tcPr>
            <w:tcW w:type="dxa" w:w="700"/>
            <w:tcMar>
              <w:top w:type="dxa" w:w="55"/>
              <w:left w:type="dxa" w:w="90"/>
              <w:bottom w:type="dxa" w:w="55"/>
              <w:right w:type="dxa" w:w="90"/>
            </w:tcMar>
          </w:tcPr>
          <w:p>
            <w:pPr>
              <w:spacing w:after="25" w:before="25" w:line="255"/>
            </w:pPr>
            <w:r>
              <w:rPr>
                <w:rFonts w:ascii="Calibri" w:cs="Calibri" w:eastAsia="Calibri" w:hAnsi="Calibri"/>
                <w:b/>
                <w:bCs/>
                <w:color w:val="BF6C00"/>
                <w:sz w:val="17"/>
                <w:szCs w:val="17"/>
              </w:rPr>
              <w:t xml:space="preserve">Med</w:t>
            </w:r>
          </w:p>
        </w:tc>
        <w:tc>
          <w:tcPr>
            <w:tcW w:type="dxa" w:w="11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9.2.6</w:t>
            </w:r>
          </w:p>
        </w:tc>
        <w:tc>
          <w:tcPr>
            <w:tcW w:type="dxa" w:w="704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The unit dropdown has no accessible name. It is correctly role="combobox" with aria-expanded and aria-haspopup="listbox", but nothing ties it to Max mileage per day.</w:t>
            </w:r>
          </w:p>
        </w:tc>
      </w:tr>
      <w:tr>
        <w:trPr>
          <w:cantSplit/>
        </w:trPr>
        <w:tc>
          <w:tcPr>
            <w:tcW w:type="dxa" w:w="52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A8</w:t>
            </w:r>
          </w:p>
        </w:tc>
        <w:tc>
          <w:tcPr>
            <w:tcW w:type="dxa" w:w="700"/>
            <w:tcMar>
              <w:top w:type="dxa" w:w="55"/>
              <w:left w:type="dxa" w:w="90"/>
              <w:bottom w:type="dxa" w:w="55"/>
              <w:right w:type="dxa" w:w="90"/>
            </w:tcMar>
          </w:tcPr>
          <w:p>
            <w:pPr>
              <w:spacing w:after="25" w:before="25" w:line="255"/>
            </w:pPr>
            <w:r>
              <w:rPr>
                <w:rFonts w:ascii="Calibri" w:cs="Calibri" w:eastAsia="Calibri" w:hAnsi="Calibri"/>
                <w:b/>
                <w:bCs/>
                <w:color w:val="BF6C00"/>
                <w:sz w:val="17"/>
                <w:szCs w:val="17"/>
              </w:rPr>
              <w:t xml:space="preserve">Med</w:t>
            </w:r>
          </w:p>
        </w:tc>
        <w:tc>
          <w:tcPr>
            <w:tcW w:type="dxa" w:w="11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9.2.7</w:t>
            </w:r>
          </w:p>
        </w:tc>
        <w:tc>
          <w:tcPr>
            <w:tcW w:type="dxa" w:w="704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No heading structure. All four section titles are div or span.</w:t>
            </w:r>
          </w:p>
        </w:tc>
      </w:tr>
    </w:tbl>
    <w:p>
      <w:pPr>
        <w:pStyle w:val="Heading1"/>
        <w:spacing w:after="140" w:before="300"/>
      </w:pPr>
      <w:r>
        <w:rPr>
          <w:rFonts w:ascii="Calibri" w:cs="Calibri" w:eastAsia="Calibri" w:hAnsi="Calibri"/>
          <w:b/>
          <w:bCs/>
          <w:color w:val="1F3864"/>
          <w:sz w:val="28"/>
          <w:szCs w:val="28"/>
        </w:rPr>
        <w:t xml:space="preserve">4. 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700"/>
        <w:gridCol w:w="900"/>
        <w:gridCol w:w="7240"/>
      </w:tblGrid>
      <w:tr>
        <w:trPr>
          <w:tblHeader/>
        </w:trPr>
        <w:tc>
          <w:tcPr>
            <w:tcW w:type="dxa" w:w="520"/>
            <w:shd w:fill="EDF0F6" w:color="auto" w:val="clear"/>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ID</w:t>
            </w:r>
          </w:p>
        </w:tc>
        <w:tc>
          <w:tcPr>
            <w:tcW w:type="dxa" w:w="700"/>
            <w:shd w:fill="EDF0F6" w:color="auto" w:val="clear"/>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Sev</w:t>
            </w:r>
          </w:p>
        </w:tc>
        <w:tc>
          <w:tcPr>
            <w:tcW w:type="dxa" w:w="900"/>
            <w:shd w:fill="EDF0F6" w:color="auto" w:val="clear"/>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Clause</w:t>
            </w:r>
          </w:p>
        </w:tc>
        <w:tc>
          <w:tcPr>
            <w:tcW w:type="dxa" w:w="7240"/>
            <w:shd w:fill="EDF0F6" w:color="auto" w:val="clear"/>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Issue</w:t>
            </w:r>
          </w:p>
        </w:tc>
      </w:tr>
      <w:tr>
        <w:trPr>
          <w:cantSplit/>
        </w:trPr>
        <w:tc>
          <w:tcPr>
            <w:tcW w:type="dxa" w:w="52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V1</w:t>
            </w:r>
          </w:p>
        </w:tc>
        <w:tc>
          <w:tcPr>
            <w:tcW w:type="dxa" w:w="7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High</w:t>
            </w:r>
          </w:p>
        </w:tc>
        <w:tc>
          <w:tcPr>
            <w:tcW w:type="dxa" w:w="9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3</w:t>
            </w:r>
          </w:p>
        </w:tc>
        <w:tc>
          <w:tcPr>
            <w:tcW w:type="dxa" w:w="724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"mile" truncates to "m…". The unit control is 66px wide with overflow:clip on the label — only "km" fits.</w:t>
            </w:r>
          </w:p>
        </w:tc>
      </w:tr>
      <w:tr>
        <w:trPr>
          <w:cantSplit/>
        </w:trPr>
        <w:tc>
          <w:tcPr>
            <w:tcW w:type="dxa" w:w="52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V2</w:t>
            </w:r>
          </w:p>
        </w:tc>
        <w:tc>
          <w:tcPr>
            <w:tcW w:type="dxa" w:w="7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High</w:t>
            </w:r>
          </w:p>
        </w:tc>
        <w:tc>
          <w:tcPr>
            <w:tcW w:type="dxa" w:w="9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2</w:t>
            </w:r>
          </w:p>
        </w:tc>
        <w:tc>
          <w:tcPr>
            <w:tcW w:type="dxa" w:w="724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Section 3 uses the wrong description. Spec: "Allows users to save address locations in the Address Book section and mark the required location as Start and End locations." Build: "If enabled, users will be able to set their own preferred Start and End Location for their beats." — which restates the note beneath it, collapsing the two distinct sentences 2 requires.</w:t>
            </w:r>
          </w:p>
        </w:tc>
      </w:tr>
      <w:tr>
        <w:trPr>
          <w:cantSplit/>
        </w:trPr>
        <w:tc>
          <w:tcPr>
            <w:tcW w:type="dxa" w:w="52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V3</w:t>
            </w:r>
          </w:p>
        </w:tc>
        <w:tc>
          <w:tcPr>
            <w:tcW w:type="dxa" w:w="700"/>
            <w:tcMar>
              <w:top w:type="dxa" w:w="55"/>
              <w:left w:type="dxa" w:w="90"/>
              <w:bottom w:type="dxa" w:w="55"/>
              <w:right w:type="dxa" w:w="90"/>
            </w:tcMar>
          </w:tcPr>
          <w:p>
            <w:pPr>
              <w:spacing w:after="25" w:before="25" w:line="255"/>
            </w:pPr>
            <w:r>
              <w:rPr>
                <w:rFonts w:ascii="Calibri" w:cs="Calibri" w:eastAsia="Calibri" w:hAnsi="Calibri"/>
                <w:b/>
                <w:bCs/>
                <w:color w:val="BF6C00"/>
                <w:sz w:val="17"/>
                <w:szCs w:val="17"/>
              </w:rPr>
              <w:t xml:space="preserve">Med</w:t>
            </w:r>
          </w:p>
        </w:tc>
        <w:tc>
          <w:tcPr>
            <w:tcW w:type="dxa" w:w="9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3</w:t>
            </w:r>
          </w:p>
        </w:tc>
        <w:tc>
          <w:tcPr>
            <w:tcW w:type="dxa" w:w="724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Check-in mode cards are 368 × 88 with a 12px gap, against 300 × 80 with a 15px gap.</w:t>
            </w:r>
          </w:p>
        </w:tc>
      </w:tr>
      <w:tr>
        <w:trPr>
          <w:cantSplit/>
        </w:trPr>
        <w:tc>
          <w:tcPr>
            <w:tcW w:type="dxa" w:w="52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V4</w:t>
            </w:r>
          </w:p>
        </w:tc>
        <w:tc>
          <w:tcPr>
            <w:tcW w:type="dxa" w:w="700"/>
            <w:tcMar>
              <w:top w:type="dxa" w:w="55"/>
              <w:left w:type="dxa" w:w="90"/>
              <w:bottom w:type="dxa" w:w="55"/>
              <w:right w:type="dxa" w:w="90"/>
            </w:tcMar>
          </w:tcPr>
          <w:p>
            <w:pPr>
              <w:spacing w:after="25" w:before="25" w:line="255"/>
            </w:pPr>
            <w:r>
              <w:rPr>
                <w:rFonts w:ascii="Calibri" w:cs="Calibri" w:eastAsia="Calibri" w:hAnsi="Calibri"/>
                <w:b/>
                <w:bCs/>
                <w:color w:val="BF6C00"/>
                <w:sz w:val="17"/>
                <w:szCs w:val="17"/>
              </w:rPr>
              <w:t xml:space="preserve">Med</w:t>
            </w:r>
          </w:p>
        </w:tc>
        <w:tc>
          <w:tcPr>
            <w:tcW w:type="dxa" w:w="9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3</w:t>
            </w:r>
          </w:p>
        </w:tc>
        <w:tc>
          <w:tcPr>
            <w:tcW w:type="dxa" w:w="724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Section titles are not one style: Route Limits, Ad-Hoc Visits and Check-in settings render at 15px, "Allow Users to set preferred Start and End Location" at 14px.</w:t>
            </w:r>
          </w:p>
        </w:tc>
      </w:tr>
      <w:tr>
        <w:trPr>
          <w:cantSplit/>
        </w:trPr>
        <w:tc>
          <w:tcPr>
            <w:tcW w:type="dxa" w:w="52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V5</w:t>
            </w:r>
          </w:p>
        </w:tc>
        <w:tc>
          <w:tcPr>
            <w:tcW w:type="dxa" w:w="700"/>
            <w:tcMar>
              <w:top w:type="dxa" w:w="55"/>
              <w:left w:type="dxa" w:w="90"/>
              <w:bottom w:type="dxa" w:w="55"/>
              <w:right w:type="dxa" w:w="90"/>
            </w:tcMar>
          </w:tcPr>
          <w:p>
            <w:pPr>
              <w:spacing w:after="25" w:before="25" w:line="255"/>
            </w:pPr>
            <w:r>
              <w:rPr>
                <w:rFonts w:ascii="Calibri" w:cs="Calibri" w:eastAsia="Calibri" w:hAnsi="Calibri"/>
                <w:b/>
                <w:bCs/>
                <w:color w:val="7A7A7A"/>
                <w:sz w:val="17"/>
                <w:szCs w:val="17"/>
              </w:rPr>
              <w:t xml:space="preserve">Low</w:t>
            </w:r>
          </w:p>
        </w:tc>
        <w:tc>
          <w:tcPr>
            <w:tcW w:type="dxa" w:w="9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2</w:t>
            </w:r>
          </w:p>
        </w:tc>
        <w:tc>
          <w:tcPr>
            <w:tcW w:type="dxa" w:w="724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Missing space in the second banner — "Note:If enabled…". The Ad-Hoc banner correctly reads "Note: The Ad-Hoc…".</w:t>
            </w:r>
          </w:p>
        </w:tc>
      </w:tr>
      <w:tr>
        <w:trPr>
          <w:cantSplit/>
        </w:trPr>
        <w:tc>
          <w:tcPr>
            <w:tcW w:type="dxa" w:w="52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V6</w:t>
            </w:r>
          </w:p>
        </w:tc>
        <w:tc>
          <w:tcPr>
            <w:tcW w:type="dxa" w:w="700"/>
            <w:tcMar>
              <w:top w:type="dxa" w:w="55"/>
              <w:left w:type="dxa" w:w="90"/>
              <w:bottom w:type="dxa" w:w="55"/>
              <w:right w:type="dxa" w:w="90"/>
            </w:tcMar>
          </w:tcPr>
          <w:p>
            <w:pPr>
              <w:spacing w:after="25" w:before="25" w:line="255"/>
            </w:pPr>
            <w:r>
              <w:rPr>
                <w:rFonts w:ascii="Calibri" w:cs="Calibri" w:eastAsia="Calibri" w:hAnsi="Calibri"/>
                <w:b/>
                <w:bCs/>
                <w:color w:val="7A7A7A"/>
                <w:sz w:val="17"/>
                <w:szCs w:val="17"/>
              </w:rPr>
              <w:t xml:space="preserve">Low</w:t>
            </w:r>
          </w:p>
        </w:tc>
        <w:tc>
          <w:tcPr>
            <w:tcW w:type="dxa" w:w="9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3</w:t>
            </w:r>
          </w:p>
        </w:tc>
        <w:tc>
          <w:tcPr>
            <w:tcW w:type="dxa" w:w="724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Input groups are 220 × 34 against 200 × 34.</w:t>
            </w:r>
          </w:p>
        </w:tc>
      </w:tr>
      <w:tr>
        <w:trPr>
          <w:cantSplit/>
        </w:trPr>
        <w:tc>
          <w:tcPr>
            <w:tcW w:type="dxa" w:w="52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V7</w:t>
            </w:r>
          </w:p>
        </w:tc>
        <w:tc>
          <w:tcPr>
            <w:tcW w:type="dxa" w:w="700"/>
            <w:tcMar>
              <w:top w:type="dxa" w:w="55"/>
              <w:left w:type="dxa" w:w="90"/>
              <w:bottom w:type="dxa" w:w="55"/>
              <w:right w:type="dxa" w:w="90"/>
            </w:tcMar>
          </w:tcPr>
          <w:p>
            <w:pPr>
              <w:spacing w:after="25" w:before="25" w:line="255"/>
            </w:pPr>
            <w:r>
              <w:rPr>
                <w:rFonts w:ascii="Calibri" w:cs="Calibri" w:eastAsia="Calibri" w:hAnsi="Calibri"/>
                <w:b/>
                <w:bCs/>
                <w:color w:val="7A7A7A"/>
                <w:sz w:val="17"/>
                <w:szCs w:val="17"/>
              </w:rPr>
              <w:t xml:space="preserve">Low</w:t>
            </w:r>
          </w:p>
        </w:tc>
        <w:tc>
          <w:tcPr>
            <w:tcW w:type="dxa" w:w="9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3</w:t>
            </w:r>
          </w:p>
        </w:tc>
        <w:tc>
          <w:tcPr>
            <w:tcW w:type="dxa" w:w="724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Cancel is 76 × 34 while Previous and Next are 32 tall; spec requires all four at 32.</w:t>
            </w:r>
          </w:p>
        </w:tc>
      </w:tr>
      <w:tr>
        <w:trPr>
          <w:cantSplit/>
        </w:trPr>
        <w:tc>
          <w:tcPr>
            <w:tcW w:type="dxa" w:w="52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V8</w:t>
            </w:r>
          </w:p>
        </w:tc>
        <w:tc>
          <w:tcPr>
            <w:tcW w:type="dxa" w:w="700"/>
            <w:tcMar>
              <w:top w:type="dxa" w:w="55"/>
              <w:left w:type="dxa" w:w="90"/>
              <w:bottom w:type="dxa" w:w="55"/>
              <w:right w:type="dxa" w:w="90"/>
            </w:tcMar>
          </w:tcPr>
          <w:p>
            <w:pPr>
              <w:spacing w:after="25" w:before="25" w:line="255"/>
            </w:pPr>
            <w:r>
              <w:rPr>
                <w:rFonts w:ascii="Calibri" w:cs="Calibri" w:eastAsia="Calibri" w:hAnsi="Calibri"/>
                <w:b/>
                <w:bCs/>
                <w:color w:val="7A7A7A"/>
                <w:sz w:val="17"/>
                <w:szCs w:val="17"/>
              </w:rPr>
              <w:t xml:space="preserve">Low</w:t>
            </w:r>
          </w:p>
        </w:tc>
        <w:tc>
          <w:tcPr>
            <w:tcW w:type="dxa" w:w="9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1</w:t>
            </w:r>
          </w:p>
        </w:tc>
        <w:tc>
          <w:tcPr>
            <w:tcW w:type="dxa" w:w="724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The Route Limits block renders 182px tall against 177 (147 + 30 gap), pushing every section below it 5px down. Sections 2 and 3 are spaced exactly 123px as designed. NEW — not in the previous report.</w:t>
            </w:r>
          </w:p>
        </w:tc>
      </w:tr>
    </w:tbl>
    <w:p>
      <w:r>
        <w:br w:type="page"/>
      </w:r>
    </w:p>
    <w:p>
      <w:pPr>
        <w:pStyle w:val="Heading1"/>
        <w:spacing w:after="140" w:before="300"/>
      </w:pPr>
      <w:r>
        <w:rPr>
          <w:rFonts w:ascii="Calibri" w:cs="Calibri" w:eastAsia="Calibri" w:hAnsi="Calibri"/>
          <w:b/>
          <w:bCs/>
          <w:color w:val="1F3864"/>
          <w:sz w:val="28"/>
          <w:szCs w:val="28"/>
        </w:rPr>
        <w:t xml:space="preserve">5. Acceptance checklist — status</w:t>
      </w:r>
    </w:p>
    <w:p>
      <w:pPr>
        <w:spacing w:after="120" w:line="276"/>
      </w:pPr>
      <w:r>
        <w:rPr>
          <w:rFonts w:ascii="Calibri" w:cs="Calibri" w:eastAsia="Calibri" w:hAnsi="Calibri"/>
          <w:sz w:val="21"/>
          <w:szCs w:val="21"/>
        </w:rPr>
        <w:t xml:space="preserve">Spec 11, line by line. 8 pass, 4 partial, 25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4700"/>
        <w:gridCol w:w="1100"/>
        <w:gridCol w:w="2310"/>
      </w:tblGrid>
      <w:tr>
        <w:trPr>
          <w:tblHeader/>
        </w:trPr>
        <w:tc>
          <w:tcPr>
            <w:tcW w:type="dxa" w:w="1250"/>
            <w:shd w:fill="EDF0F6" w:color="auto" w:val="clear"/>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Group</w:t>
            </w:r>
          </w:p>
        </w:tc>
        <w:tc>
          <w:tcPr>
            <w:tcW w:type="dxa" w:w="4700"/>
            <w:shd w:fill="EDF0F6" w:color="auto" w:val="clear"/>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Check</w:t>
            </w:r>
          </w:p>
        </w:tc>
        <w:tc>
          <w:tcPr>
            <w:tcW w:type="dxa" w:w="1100"/>
            <w:shd w:fill="EDF0F6" w:color="auto" w:val="clear"/>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Status</w:t>
            </w:r>
          </w:p>
        </w:tc>
        <w:tc>
          <w:tcPr>
            <w:tcW w:type="dxa" w:w="2310"/>
            <w:shd w:fill="EDF0F6" w:color="auto" w:val="clear"/>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Ref</w:t>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Layout</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Full height on first visit</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Fail</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F1</w:t>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Layout</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Still full height after Field Rules → Beat Engine → Field Rules</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Fail</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F1</w:t>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Layout</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Height recalculates on resize</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Fail</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F1</w:t>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Route Limits</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ab-12.5xy into Max mileage leaves 12.5</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Fail</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F2</w:t>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Route Limits</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Same filtering on paste</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Fail</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F2</w:t>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Route Limits</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-9.75abc into Buffer leaves 975</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Fail</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F2</w:t>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Route Limits</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Empty Max mileage blocks Next, visibly and announced</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BF6C00"/>
                <w:sz w:val="17"/>
                <w:szCs w:val="17"/>
              </w:rPr>
              <w:t xml:space="preserve">Partial</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F4, A5 — blocks, silently</w:t>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Route Limits</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Empty Buffer blocks Next, visibly and announced</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Fail</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F3 — does not block</w:t>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Route Limits</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Unit dropdown shows mile in full</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Fail</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V1</w:t>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Route Limits</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Switching to mile converts or re-validates</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Fail</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F8</w:t>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Toggles</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Both default to off</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1E7B34"/>
                <w:sz w:val="17"/>
                <w:szCs w:val="17"/>
              </w:rPr>
              <w:t xml:space="preserve">Pass</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Toggles</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Note banners show regardless of state</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1E7B34"/>
                <w:sz w:val="17"/>
                <w:szCs w:val="17"/>
              </w:rPr>
              <w:t xml:space="preserve">Pass</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Toggles</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Section 3 description and note are different sentences</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Fail</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V2</w:t>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Toggles</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Both banners read "Note: " with a space</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Fail</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V5</w:t>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Check-in</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25 and 200 are accepted</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1E7B34"/>
                <w:sz w:val="17"/>
                <w:szCs w:val="17"/>
              </w:rPr>
              <w:t xml:space="preserve">Pass</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Check-in</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5, 500 and empty block with border, message and focus</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BF6C00"/>
                <w:sz w:val="17"/>
                <w:szCs w:val="17"/>
              </w:rPr>
              <w:t xml:space="preserve">Partial</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F4 — block, no feedback</w:t>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Check-in</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Error clears when corrected</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Fail</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F4 — no error is shown to clear</w:t>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Check-in</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Manual selected by default</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1E7B34"/>
                <w:sz w:val="17"/>
                <w:szCs w:val="17"/>
              </w:rPr>
              <w:t xml:space="preserve">Pass</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Check-in</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Choosing Automatic deselects Manual</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1E7B34"/>
                <w:sz w:val="17"/>
                <w:szCs w:val="17"/>
              </w:rPr>
              <w:t xml:space="preserve">Pass</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Check-in</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Space selects without scrolling</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BF6C00"/>
                <w:sz w:val="17"/>
                <w:szCs w:val="17"/>
              </w:rPr>
              <w:t xml:space="preserve">Partial</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F7 — selects, scrolls</w:t>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Persistence</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All six values survive leaving and returning</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BF6C00"/>
                <w:sz w:val="17"/>
                <w:szCs w:val="17"/>
              </w:rPr>
              <w:t xml:space="preserve">Partial</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F5 — five of six; unit resets</w:t>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Persistence</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Footer reads Previous | Cancel · Save as Draft · Next</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Fail</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F6</w:t>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Persistence</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All four footer buttons 32px tall</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Fail</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V7</w:t>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A11y</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Both toggles named by their visible labels</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Fail</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A1</w:t>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A11y</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Both toggles report aria-checked</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Fail</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A2</w:t>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A11y</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Every control shows a visible focus ring</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Fail</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A3</w:t>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A11y</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All three numeric inputs have programmatic labels</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Fail</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A4</w:t>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A11y</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Check-in mode is a radiogroup with arrow keys</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Fail</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A6</w:t>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A11y</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Unit dropdown is named</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Fail</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A7</w:t>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A11y</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Four section titles are headings</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Fail</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A8</w:t>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A11y</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Blocked Next announced to a screen reader</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Fail</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A5</w:t>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A11y</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Tab order follows visual order</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1E7B34"/>
                <w:sz w:val="17"/>
                <w:szCs w:val="17"/>
              </w:rPr>
              <w:t xml:space="preserve">Pass</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Measure</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Input groups 200 × 34</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Fail</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V6</w:t>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Measure</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Cards 300 × 80, 15px apart</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Fail</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V3</w:t>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Measure</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Note banners 679 × 34 and 983 × 34</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1E7B34"/>
                <w:sz w:val="17"/>
                <w:szCs w:val="17"/>
              </w:rPr>
              <w:t xml:space="preserve">Pass</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Measure</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All four section titles one size</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C00000"/>
                <w:sz w:val="17"/>
                <w:szCs w:val="17"/>
              </w:rPr>
              <w:t xml:space="preserve">Fail</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V4</w:t>
            </w:r>
          </w:p>
        </w:tc>
      </w:tr>
      <w:tr>
        <w:trPr>
          <w:cantSplit/>
        </w:trPr>
        <w:tc>
          <w:tcPr>
            <w:tcW w:type="dxa" w:w="125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Measure</w:t>
            </w:r>
          </w:p>
        </w:tc>
        <w:tc>
          <w:tcPr>
            <w:tcW w:type="dxa" w:w="47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Toggles 30 × 18</w:t>
            </w:r>
          </w:p>
        </w:tc>
        <w:tc>
          <w:tcPr>
            <w:tcW w:type="dxa" w:w="1100"/>
            <w:tcMar>
              <w:top w:type="dxa" w:w="55"/>
              <w:left w:type="dxa" w:w="90"/>
              <w:bottom w:type="dxa" w:w="55"/>
              <w:right w:type="dxa" w:w="90"/>
            </w:tcMar>
          </w:tcPr>
          <w:p>
            <w:pPr>
              <w:spacing w:after="25" w:before="25" w:line="255"/>
            </w:pPr>
            <w:r>
              <w:rPr>
                <w:rFonts w:ascii="Calibri" w:cs="Calibri" w:eastAsia="Calibri" w:hAnsi="Calibri"/>
                <w:b/>
                <w:bCs/>
                <w:color w:val="1E7B34"/>
                <w:sz w:val="17"/>
                <w:szCs w:val="17"/>
              </w:rPr>
              <w:t xml:space="preserve">Pass</w:t>
            </w:r>
          </w:p>
        </w:tc>
        <w:tc>
          <w:tcPr>
            <w:tcW w:type="dxa" w:w="231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
            </w:r>
          </w:p>
        </w:tc>
      </w:tr>
    </w:tbl>
    <w:p>
      <w:pPr>
        <w:pStyle w:val="Heading1"/>
        <w:spacing w:after="140" w:before="300"/>
      </w:pPr>
      <w:r>
        <w:rPr>
          <w:rFonts w:ascii="Calibri" w:cs="Calibri" w:eastAsia="Calibri" w:hAnsi="Calibri"/>
          <w:b/>
          <w:bCs/>
          <w:color w:val="1F3864"/>
          <w:sz w:val="28"/>
          <w:szCs w:val="28"/>
        </w:rPr>
        <w:t xml:space="preserve">6. Open questions — what the build does today</w:t>
      </w:r>
    </w:p>
    <w:p>
      <w:pPr>
        <w:spacing w:after="120" w:line="276"/>
      </w:pPr>
      <w:r>
        <w:rPr>
          <w:rFonts w:ascii="Calibri" w:cs="Calibri" w:eastAsia="Calibri" w:hAnsi="Calibri"/>
          <w:sz w:val="21"/>
          <w:szCs w:val="21"/>
        </w:rPr>
        <w:t xml:space="preserve">Spec 12 leaves three points undecided. Current behaviour, so the decision can be made with it in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600"/>
        <w:gridCol w:w="5240"/>
      </w:tblGrid>
      <w:tr>
        <w:trPr>
          <w:tblHeader/>
        </w:trPr>
        <w:tc>
          <w:tcPr>
            <w:tcW w:type="dxa" w:w="520"/>
            <w:shd w:fill="EDF0F6" w:color="auto" w:val="clear"/>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w:t>
            </w:r>
          </w:p>
        </w:tc>
        <w:tc>
          <w:tcPr>
            <w:tcW w:type="dxa" w:w="3600"/>
            <w:shd w:fill="EDF0F6" w:color="auto" w:val="clear"/>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Question</w:t>
            </w:r>
          </w:p>
        </w:tc>
        <w:tc>
          <w:tcPr>
            <w:tcW w:type="dxa" w:w="5240"/>
            <w:shd w:fill="EDF0F6" w:color="auto" w:val="clear"/>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Build today</w:t>
            </w:r>
          </w:p>
        </w:tc>
      </w:tr>
      <w:tr>
        <w:trPr>
          <w:cantSplit/>
        </w:trPr>
        <w:tc>
          <w:tcPr>
            <w:tcW w:type="dxa" w:w="52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1</w:t>
            </w:r>
          </w:p>
        </w:tc>
        <w:tc>
          <w:tcPr>
            <w:tcW w:type="dxa" w:w="36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Numeric bounds for Max mileage and Buffer (proposed 0–999 and 0–240)</w:t>
            </w:r>
          </w:p>
        </w:tc>
        <w:tc>
          <w:tcPr>
            <w:tcW w:type="dxa" w:w="524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Neither bound exists today — 5000 and 500 both save and advance. Nothing to preserve; implement whatever you decide.</w:t>
            </w:r>
          </w:p>
        </w:tc>
      </w:tr>
      <w:tr>
        <w:trPr>
          <w:cantSplit/>
        </w:trPr>
        <w:tc>
          <w:tcPr>
            <w:tcW w:type="dxa" w:w="52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2</w:t>
            </w:r>
          </w:p>
        </w:tc>
        <w:tc>
          <w:tcPr>
            <w:tcW w:type="dxa" w:w="36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Unit switch — convert or re-validate?</w:t>
            </w:r>
          </w:p>
        </w:tc>
        <w:tc>
          <w:tcPr>
            <w:tcW w:type="dxa" w:w="524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The build currently does neither: it relabels and leaves the number. Either option is a change.</w:t>
            </w:r>
          </w:p>
        </w:tc>
      </w:tr>
      <w:tr>
        <w:trPr>
          <w:cantSplit/>
        </w:trPr>
        <w:tc>
          <w:tcPr>
            <w:tcW w:type="dxa" w:w="520"/>
            <w:tcMar>
              <w:top w:type="dxa" w:w="55"/>
              <w:left w:type="dxa" w:w="90"/>
              <w:bottom w:type="dxa" w:w="55"/>
              <w:right w:type="dxa" w:w="90"/>
            </w:tcMar>
          </w:tcPr>
          <w:p>
            <w:pPr>
              <w:spacing w:after="25" w:before="25" w:line="255"/>
            </w:pPr>
            <w:r>
              <w:rPr>
                <w:rFonts w:ascii="Calibri" w:cs="Calibri" w:eastAsia="Calibri" w:hAnsi="Calibri"/>
                <w:b/>
                <w:bCs/>
                <w:sz w:val="17"/>
                <w:szCs w:val="17"/>
              </w:rPr>
              <w:t xml:space="preserve">3</w:t>
            </w:r>
          </w:p>
        </w:tc>
        <w:tc>
          <w:tcPr>
            <w:tcW w:type="dxa" w:w="360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Is 0 meaningful for the Route Limits fields?</w:t>
            </w:r>
          </w:p>
        </w:tc>
        <w:tc>
          <w:tcPr>
            <w:tcW w:type="dxa" w:w="5240"/>
            <w:tcMar>
              <w:top w:type="dxa" w:w="55"/>
              <w:left w:type="dxa" w:w="90"/>
              <w:bottom w:type="dxa" w:w="55"/>
              <w:right w:type="dxa" w:w="90"/>
            </w:tcMar>
          </w:tcPr>
          <w:p>
            <w:pPr>
              <w:spacing w:after="25" w:before="25" w:line="255"/>
            </w:pPr>
            <w:r>
              <w:rPr>
                <w:rFonts w:ascii="Calibri" w:cs="Calibri" w:eastAsia="Calibri" w:hAnsi="Calibri"/>
                <w:b w:val="false"/>
                <w:bCs w:val="false"/>
                <w:sz w:val="17"/>
                <w:szCs w:val="17"/>
              </w:rPr>
              <w:t xml:space="preserve">0 is the shipped default for both and passes validation today, so the build implicitly treats it as valid. If 0 is to be invalid, the defaults must change too, or the step opens in an invalid state.</w:t>
            </w:r>
          </w:p>
        </w:tc>
      </w:tr>
    </w:tbl>
    <w:p>
      <w:pPr>
        <w:pStyle w:val="Heading1"/>
        <w:spacing w:after="140" w:before="300"/>
      </w:pPr>
      <w:r>
        <w:rPr>
          <w:rFonts w:ascii="Calibri" w:cs="Calibri" w:eastAsia="Calibri" w:hAnsi="Calibri"/>
          <w:b/>
          <w:bCs/>
          <w:color w:val="1F3864"/>
          <w:sz w:val="28"/>
          <w:szCs w:val="28"/>
        </w:rPr>
        <w:t xml:space="preserve">7. Suggested order</w:t>
      </w:r>
    </w:p>
    <w:p>
      <w:pPr>
        <w:pStyle w:val="ListParagraph"/>
        <w:numPr>
          <w:ilvl w:val="0"/>
          <w:numId w:val="2"/>
        </w:numPr>
        <w:spacing w:after="50" w:line="270"/>
      </w:pPr>
      <w:r>
        <w:rPr>
          <w:rFonts w:ascii="Calibri" w:cs="Calibri" w:eastAsia="Calibri" w:hAnsi="Calibri"/>
          <w:sz w:val="20"/>
          <w:szCs w:val="20"/>
        </w:rPr>
        <w:t xml:space="preserve">F1 — the wizard body height. Nothing else on the step is reachable until it is fixed, and it affects the other steps the same way.</w:t>
      </w:r>
    </w:p>
    <w:p>
      <w:pPr>
        <w:pStyle w:val="ListParagraph"/>
        <w:numPr>
          <w:ilvl w:val="0"/>
          <w:numId w:val="2"/>
        </w:numPr>
        <w:spacing w:after="50" w:line="270"/>
      </w:pPr>
      <w:r>
        <w:rPr>
          <w:rFonts w:ascii="Calibri" w:cs="Calibri" w:eastAsia="Calibri" w:hAnsi="Calibri"/>
          <w:sz w:val="20"/>
          <w:szCs w:val="20"/>
        </w:rPr>
        <w:t xml:space="preserve">F3, F4, F9, A5 — make validation whole: cover all three fields, add the missing bounds, and give every blocked Next a border, a message, focus and an announcement. This is one piece of work and it closes the largest group of checklist failures.</w:t>
      </w:r>
    </w:p>
    <w:p>
      <w:pPr>
        <w:pStyle w:val="ListParagraph"/>
        <w:numPr>
          <w:ilvl w:val="0"/>
          <w:numId w:val="2"/>
        </w:numPr>
        <w:spacing w:after="50" w:line="270"/>
      </w:pPr>
      <w:r>
        <w:rPr>
          <w:rFonts w:ascii="Calibri" w:cs="Calibri" w:eastAsia="Calibri" w:hAnsi="Calibri"/>
          <w:sz w:val="20"/>
          <w:szCs w:val="20"/>
        </w:rPr>
        <w:t xml:space="preserve">F2 — filter the numeric inputs on keystroke and on input, so paste is covered too.</w:t>
      </w:r>
    </w:p>
    <w:p>
      <w:pPr>
        <w:pStyle w:val="ListParagraph"/>
        <w:numPr>
          <w:ilvl w:val="0"/>
          <w:numId w:val="2"/>
        </w:numPr>
        <w:spacing w:after="50" w:line="270"/>
      </w:pPr>
      <w:r>
        <w:rPr>
          <w:rFonts w:ascii="Calibri" w:cs="Calibri" w:eastAsia="Calibri" w:hAnsi="Calibri"/>
          <w:sz w:val="20"/>
          <w:szCs w:val="20"/>
        </w:rPr>
        <w:t xml:space="preserve">A1, A2, A3, A4 — name the switches, add aria-checked, restore a visible focus ring, label the three inputs. Together these take the step from unusable to usable by keyboard and screen reader.</w:t>
      </w:r>
    </w:p>
    <w:p>
      <w:pPr>
        <w:pStyle w:val="ListParagraph"/>
        <w:numPr>
          <w:ilvl w:val="0"/>
          <w:numId w:val="2"/>
        </w:numPr>
        <w:spacing w:after="50" w:line="270"/>
      </w:pPr>
      <w:r>
        <w:rPr>
          <w:rFonts w:ascii="Calibri" w:cs="Calibri" w:eastAsia="Calibri" w:hAnsi="Calibri"/>
          <w:sz w:val="20"/>
          <w:szCs w:val="20"/>
        </w:rPr>
        <w:t xml:space="preserve">A6, A7, A8 — radiogroup semantics with arrow keys, a name for the unit combobox, real headings.</w:t>
      </w:r>
    </w:p>
    <w:p>
      <w:pPr>
        <w:pStyle w:val="ListParagraph"/>
        <w:numPr>
          <w:ilvl w:val="0"/>
          <w:numId w:val="2"/>
        </w:numPr>
        <w:spacing w:after="50" w:line="270"/>
      </w:pPr>
      <w:r>
        <w:rPr>
          <w:rFonts w:ascii="Calibri" w:cs="Calibri" w:eastAsia="Calibri" w:hAnsi="Calibri"/>
          <w:sz w:val="20"/>
          <w:szCs w:val="20"/>
        </w:rPr>
        <w:t xml:space="preserve">V1, V2 — widen the unit control so mile fits; restore the Section 3 description.</w:t>
      </w:r>
    </w:p>
    <w:p>
      <w:pPr>
        <w:pStyle w:val="ListParagraph"/>
        <w:numPr>
          <w:ilvl w:val="0"/>
          <w:numId w:val="2"/>
        </w:numPr>
        <w:spacing w:after="50" w:line="270"/>
      </w:pPr>
      <w:r>
        <w:rPr>
          <w:rFonts w:ascii="Calibri" w:cs="Calibri" w:eastAsia="Calibri" w:hAnsi="Calibri"/>
          <w:sz w:val="20"/>
          <w:szCs w:val="20"/>
        </w:rPr>
        <w:t xml:space="preserve">F5, F6, F8 — persist the unit, add Save as Draft, decide the unit-switch rule.</w:t>
      </w:r>
    </w:p>
    <w:p>
      <w:pPr>
        <w:pStyle w:val="ListParagraph"/>
        <w:numPr>
          <w:ilvl w:val="0"/>
          <w:numId w:val="2"/>
        </w:numPr>
        <w:spacing w:after="50" w:line="270"/>
      </w:pPr>
      <w:r>
        <w:rPr>
          <w:rFonts w:ascii="Calibri" w:cs="Calibri" w:eastAsia="Calibri" w:hAnsi="Calibri"/>
          <w:sz w:val="20"/>
          <w:szCs w:val="20"/>
        </w:rPr>
        <w:t xml:space="preserve">V3–V8, F7 — sizing, spacing and the remaining polish.</w:t>
      </w:r>
    </w:p>
    <w:sectPr>
      <w:pgSz w:w="12240" w:h="15840" w:orient="portrait"/>
      <w:pgMar w:top="980" w:right="1300" w:bottom="9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Rules — Spec Deviation Report (rev 2)</dc:title>
  <dc:creator>QA — Field Rules</dc:creator>
  <cp:lastModifiedBy>Un-named</cp:lastModifiedBy>
  <cp:revision>1</cp:revision>
  <dcterms:created xsi:type="dcterms:W3CDTF">2026-09-25T10:57:19.596Z</dcterms:created>
  <dcterms:modified xsi:type="dcterms:W3CDTF">2026-09-25T10:57:19.597Z</dcterms:modified>
</cp:coreProperties>
</file>

<file path=docProps/custom.xml><?xml version="1.0" encoding="utf-8"?>
<Properties xmlns="http://schemas.openxmlformats.org/officeDocument/2006/custom-properties" xmlns:vt="http://schemas.openxmlformats.org/officeDocument/2006/docPropsVTypes"/>
</file>