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181F"/>
        </w:rPr>
        <w:t>HelixTriage — AI Solution Design</w:t>
      </w:r>
    </w:p>
    <w:p>
      <w:r>
        <w:rPr>
          <w:color w:val="5B6773"/>
          <w:sz w:val="18"/>
        </w:rPr>
        <w:t>System: HelixTriage  ·  Reference: RAI-RD-20260415-helixtriage  ·  Owner: Enterprise Service Management  ·  Version 2.0</w:t>
      </w:r>
    </w:p>
    <w:p>
      <w:r>
        <w:t>This document describes the technical design of HelixTriage, the AI-assisted ticket triage system specified in the use case requirements. It covers architecture, model selection, data flow, evaluation approach and operational controls.</w:t>
      </w:r>
    </w:p>
    <w:p>
      <w:pPr>
        <w:pStyle w:val="Heading1"/>
      </w:pPr>
      <w:r>
        <w:t>1. Architecture overview</w:t>
      </w:r>
    </w:p>
    <w:p>
      <w:r>
        <w:t>HelixTriage runs as a stateless inference service behind the internal endpoint helixtriage-inference.svc.internal.corp. The service desk platform posts each new ticket to the endpoint at intake. The service returns a predicted resolver group, a predicted priority, a calibrated confidence score and a drafted first response. Nothing is written back to the ticket automatically — the agent console renders the prediction as a suggestion.</w:t>
      </w:r>
    </w:p>
    <w:p>
      <w:pPr>
        <w:pStyle w:val="Heading1"/>
      </w:pPr>
      <w:r>
        <w:t>2. Components</w:t>
      </w:r>
    </w:p>
    <w:p>
      <w:pPr>
        <w:pStyle w:val="ListBullet"/>
      </w:pPr>
      <w:r>
        <w:rPr>
          <w:b/>
        </w:rPr>
        <w:t xml:space="preserve">Intake adapter. </w:t>
      </w:r>
      <w:r>
        <w:t>Normalises tickets from the web portal, email intake and the Teams bot into a single schema. Strips signature blocks and quoted reply chains.</w:t>
      </w:r>
    </w:p>
    <w:p>
      <w:pPr>
        <w:pStyle w:val="ListBullet"/>
      </w:pPr>
      <w:r>
        <w:rPr>
          <w:b/>
        </w:rPr>
        <w:t xml:space="preserve">Classifier. </w:t>
      </w:r>
      <w:r>
        <w:t>Azure OpenAI GPT-4o deployed in the corporate Azure subscription, prompted with the resolver-group taxonomy and few-shot exemplars drawn from resolved tickets.</w:t>
      </w:r>
    </w:p>
    <w:p>
      <w:pPr>
        <w:pStyle w:val="ListBullet"/>
      </w:pPr>
      <w:r>
        <w:rPr>
          <w:b/>
        </w:rPr>
        <w:t xml:space="preserve">Similarity retriever. </w:t>
      </w:r>
      <w:r>
        <w:t>text-embedding-3-large embeddings over the resolved-ticket corpus, queried for the five nearest prior tickets. Retrieved tickets are supplied to the classifier as context.</w:t>
      </w:r>
    </w:p>
    <w:p>
      <w:pPr>
        <w:pStyle w:val="ListBullet"/>
      </w:pPr>
      <w:r>
        <w:rPr>
          <w:b/>
        </w:rPr>
        <w:t xml:space="preserve">Response drafter. </w:t>
      </w:r>
      <w:r>
        <w:t>A second prompted call that produces a suggested first response grounded in the retrieved prior tickets and the knowledge base article, if one is matched.</w:t>
      </w:r>
    </w:p>
    <w:p>
      <w:pPr>
        <w:pStyle w:val="ListBullet"/>
      </w:pPr>
      <w:r>
        <w:rPr>
          <w:b/>
        </w:rPr>
        <w:t xml:space="preserve">Confidence gate. </w:t>
      </w:r>
      <w:r>
        <w:t>Predictions scoring below 0.62 are suppressed and the ticket follows the existing manual triage path unchanged.</w:t>
      </w:r>
    </w:p>
    <w:p>
      <w:pPr>
        <w:pStyle w:val="ListBullet"/>
      </w:pPr>
      <w:r>
        <w:rPr>
          <w:b/>
        </w:rPr>
        <w:t xml:space="preserve">Feedback store. </w:t>
      </w:r>
      <w:r>
        <w:t>Records every agent override with the original prediction, used to build subsequent evaluation sets.</w:t>
      </w:r>
    </w:p>
    <w:p>
      <w:pPr>
        <w:pStyle w:val="Heading1"/>
      </w:pPr>
      <w:r>
        <w:t>3. Model selection</w:t>
      </w:r>
    </w:p>
    <w:p>
      <w:r>
        <w:t>Azure OpenAI GPT-4o was selected over a fine-tuned classifier because the resolver-group taxonomy changes roughly quarterly, and re-training on each change was judged operationally unsustainable. A prompted model with a retrieved-context window absorbs taxonomy changes through configuration rather than retraining. The embedding model text-embedding-3-large was selected for retrieval on the basis of recall at five on a 4,000-ticket benchmark.</w:t>
      </w:r>
    </w:p>
    <w:p>
      <w:pPr>
        <w:pStyle w:val="Heading1"/>
      </w:pPr>
      <w:r>
        <w:t>4. Data flow</w:t>
      </w:r>
    </w:p>
    <w:p>
      <w:r>
        <w:t>1. Ticket is created in the service desk platform.</w:t>
      </w:r>
    </w:p>
    <w:p>
      <w:r>
        <w:t>2. Intake adapter normalises the payload and removes quoted history.</w:t>
      </w:r>
    </w:p>
    <w:p>
      <w:r>
        <w:t>3. Embedding of the normalised text is generated using text-embedding-3-large.</w:t>
      </w:r>
    </w:p>
    <w:p>
      <w:r>
        <w:t>4. Five nearest resolved tickets are retrieved from the corpus.</w:t>
      </w:r>
    </w:p>
    <w:p>
      <w:r>
        <w:t>5. Azure OpenAI GPT-4o is called with the ticket, the taxonomy and the retrieved context.</w:t>
      </w:r>
    </w:p>
    <w:p>
      <w:r>
        <w:t>6. Confidence gate applies the 0.62 threshold.</w:t>
      </w:r>
    </w:p>
    <w:p>
      <w:r>
        <w:t>7. Prediction and drafted response are returned to the agent console.</w:t>
      </w:r>
    </w:p>
    <w:p>
      <w:r>
        <w:t>8. Agent accepts, edits or overrides; the outcome is written to the feedback store.</w:t>
      </w:r>
    </w:p>
    <w:p>
      <w:pPr>
        <w:pStyle w:val="Heading1"/>
      </w:pPr>
      <w:r>
        <w:t>5. Data handling</w:t>
      </w:r>
    </w:p>
    <w:p>
      <w:r>
        <w:t>Ticket text may contain personal data. Tickets flagged at intake as containing personal or clinical data are excluded from the system entirely and follow the manual path. Embeddings are stored in the corporate vector store within the same network boundary. No ticket content leaves the tenant, and no ticket content is used for vendor model training.</w:t>
      </w:r>
    </w:p>
    <w:p>
      <w:pPr>
        <w:pStyle w:val="Heading1"/>
      </w:pPr>
      <w:r>
        <w:t>6. Evaluation</w:t>
      </w:r>
    </w:p>
    <w:p>
      <w:r>
        <w:t>HelixTriage is evaluated against a held-out labelled dataset of 500 tickets, stratified by resolver group. Results are recorded in the triage evaluation workbook that accompanies this design. Accuracy, precision, recall and F1 are tracked per category, alongside the proportion of predictions suppressed by the confidence gate.</w:t>
      </w:r>
    </w:p>
    <w:p>
      <w:pPr>
        <w:pStyle w:val="Heading1"/>
      </w:pPr>
      <w:r>
        <w:t>7. Operational controls</w:t>
      </w:r>
    </w:p>
    <w:p>
      <w:r>
        <w:t>Model version, prompt version and taxonomy version are recorded against every prediction. Predictions are retained for 90 days. A weekly review samples 50 overridden predictions to detect drift. The confidence threshold is reviewed monthly against the observed override rate.</w:t>
      </w:r>
    </w:p>
    <w:p>
      <w:pPr>
        <w:pStyle w:val="Heading1"/>
      </w:pPr>
      <w:r>
        <w:t>8. Risks</w:t>
      </w:r>
    </w:p>
    <w:p>
      <w:pPr>
        <w:pStyle w:val="ListBullet"/>
      </w:pPr>
      <w:r>
        <w:rPr>
          <w:b/>
        </w:rPr>
        <w:t xml:space="preserve">Over-reliance by agents on suggested responses — </w:t>
      </w:r>
      <w:r>
        <w:t>Suggestions are visually marked as AI-generated and require explicit acceptance.</w:t>
      </w:r>
    </w:p>
    <w:p>
      <w:pPr>
        <w:pStyle w:val="ListBullet"/>
      </w:pPr>
      <w:r>
        <w:rPr>
          <w:b/>
        </w:rPr>
        <w:t xml:space="preserve">Taxonomy drift degrading accuracy silently — </w:t>
      </w:r>
      <w:r>
        <w:t>Weekly override sampling and monthly threshold review.</w:t>
      </w:r>
    </w:p>
    <w:p>
      <w:pPr>
        <w:pStyle w:val="ListBullet"/>
      </w:pPr>
      <w:r>
        <w:rPr>
          <w:b/>
        </w:rPr>
        <w:t xml:space="preserve">Latency spikes under peak load — </w:t>
      </w:r>
      <w:r>
        <w:t>Retrieval cache and a hard 4-second timeout that falls back to manual triage.</w:t>
      </w:r>
    </w:p>
    <w:p>
      <w:pPr>
        <w:pStyle w:val="ListBullet"/>
      </w:pPr>
      <w:r>
        <w:rPr>
          <w:b/>
        </w:rPr>
        <w:t xml:space="preserve">Personal data reaching the model — </w:t>
      </w:r>
      <w:r>
        <w:t>Intake exclusion rule plus signature and quoted-history stripping.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HelixTriage — AI Solution Design</dc:title>
  <dc:subject>HelixTriage (RAI-RD-20260415-helixtriage) technical solution design</dc:subject>
  <dc:creator>Enterprise Service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