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sidRPr="00783C8A">
        <w:rPr>
          <w:rFonts w:ascii="Times New Roman" w:hAnsi="Times New Roman"/>
          <w:b/>
          <w:lang w:val="es-ES"/>
        </w:rPr>
        <w:t>Nama Sekolah</w:t>
      </w:r>
      <w:r w:rsidRPr="00783C8A">
        <w:rPr>
          <w:rFonts w:ascii="Times New Roman" w:hAnsi="Times New Roman"/>
          <w:b/>
          <w:lang w:val="es-ES"/>
        </w:rPr>
        <w:tab/>
        <w:t>:</w:t>
      </w:r>
      <w:r w:rsidR="00783C8A" w:rsidRPr="00783C8A">
        <w:rPr>
          <w:rFonts w:ascii="Times New Roman" w:hAnsi="Times New Roman"/>
          <w:b/>
          <w:lang w:val="id-ID"/>
        </w:rPr>
        <w:t xml:space="preserve"> </w:t>
      </w:r>
      <w:r w:rsidR="00591441" w:rsidRPr="00783C8A">
        <w:rPr>
          <w:rFonts w:ascii="Times New Roman" w:hAnsi="Times New Roman"/>
          <w:b/>
          <w:color w:val="000000"/>
          <w:lang w:val="id-ID"/>
        </w:rPr>
        <w:t xml:space="preserve">SD Negeri </w:t>
      </w:r>
      <w:r w:rsidR="00E95F2A">
        <w:rPr>
          <w:rFonts w:ascii="Times New Roman" w:hAnsi="Times New Roman"/>
          <w:b/>
          <w:color w:val="000000"/>
          <w:lang w:val="id-ID"/>
        </w:rPr>
        <w:t>3</w:t>
      </w:r>
      <w:r w:rsidR="002368BC">
        <w:rPr>
          <w:rFonts w:ascii="Times New Roman" w:hAnsi="Times New Roman"/>
          <w:b/>
          <w:color w:val="000000"/>
          <w:lang w:val="id-ID"/>
        </w:rPr>
        <w:t>1 Tanjung Aur</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2368BC" w:rsidRPr="00283620" w:rsidRDefault="002368BC" w:rsidP="002368BC">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