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2107C" w:rsidRPr="000E5A41" w:rsidRDefault="000E5A41" w:rsidP="000E5A41">
      <w:pPr>
        <w:spacing w:after="0" w:line="360" w:lineRule="auto"/>
        <w:ind w:firstLine="709"/>
        <w:jc w:val="right"/>
        <w:rPr>
          <w:rFonts w:ascii="Arial" w:hAnsi="Arial" w:cs="Arial"/>
          <w:b/>
          <w:sz w:val="28"/>
          <w:szCs w:val="32"/>
          <w:lang w:val="en-GB"/>
        </w:rPr>
      </w:pPr>
      <w:bookmarkStart w:id="0" w:name="_GoBack"/>
      <w:bookmarkEnd w:id="0"/>
      <w:r w:rsidRPr="000E5A41">
        <w:rPr>
          <w:rFonts w:ascii="Arial" w:hAnsi="Arial" w:cs="Arial"/>
          <w:b/>
          <w:sz w:val="28"/>
          <w:szCs w:val="32"/>
          <w:lang w:val="en-GB"/>
        </w:rPr>
        <w:t>DRAFT</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after="0" w:line="360" w:lineRule="auto"/>
        <w:ind w:firstLine="709"/>
        <w:jc w:val="right"/>
        <w:rPr>
          <w:rFonts w:ascii="Arial" w:hAnsi="Arial" w:cs="Arial"/>
          <w:b/>
          <w:sz w:val="32"/>
          <w:szCs w:val="32"/>
          <w:lang w:val="en-GB"/>
        </w:rPr>
      </w:pPr>
      <w:r>
        <w:rPr>
          <w:rFonts w:ascii="Arial" w:hAnsi="Arial" w:cs="Arial"/>
          <w:b/>
          <w:sz w:val="32"/>
          <w:szCs w:val="32"/>
          <w:lang w:val="en-GB"/>
        </w:rPr>
        <w:t xml:space="preserve">ADOPTED: Resolution № 2 «24» March 2024; new version </w:t>
      </w:r>
      <w:r w:rsidR="003233F6">
        <w:rPr>
          <w:rFonts w:ascii="Arial" w:hAnsi="Arial" w:cs="Arial"/>
          <w:b/>
          <w:sz w:val="32"/>
          <w:szCs w:val="32"/>
          <w:lang w:val="en-GB"/>
        </w:rPr>
        <w:t>–</w:t>
      </w:r>
      <w:r>
        <w:rPr>
          <w:rFonts w:ascii="Arial" w:hAnsi="Arial" w:cs="Arial"/>
          <w:b/>
          <w:sz w:val="32"/>
          <w:szCs w:val="32"/>
          <w:lang w:val="en-GB"/>
        </w:rPr>
        <w:t xml:space="preserve"> by written notice of the Founder № ___ dated «___» __________ 2026</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after="0" w:line="240" w:lineRule="auto"/>
        <w:ind w:firstLine="709"/>
        <w:rPr>
          <w:rFonts w:ascii="Arial" w:hAnsi="Arial" w:cs="Arial"/>
          <w:sz w:val="28"/>
          <w:szCs w:val="32"/>
          <w:lang w:val="en-GB"/>
        </w:rPr>
      </w:pPr>
      <w:r>
        <w:rPr>
          <w:rFonts w:ascii="Arial" w:hAnsi="Arial" w:cs="Arial"/>
          <w:sz w:val="28"/>
          <w:szCs w:val="32"/>
          <w:lang w:val="en-GB"/>
        </w:rPr>
        <w:t>Approval Date of the new version: «___» __________ 2026</w:t>
      </w:r>
    </w:p>
    <w:p w:rsidR="0012107C" w:rsidRPr="0012107C" w:rsidRDefault="000E5A41" w:rsidP="0012107C">
      <w:pPr>
        <w:spacing w:after="0" w:line="240" w:lineRule="auto"/>
        <w:ind w:firstLine="709"/>
        <w:rPr>
          <w:rFonts w:ascii="Arial" w:hAnsi="Arial" w:cs="Arial"/>
          <w:sz w:val="28"/>
          <w:szCs w:val="32"/>
          <w:lang w:val="en-GB"/>
        </w:rPr>
      </w:pPr>
      <w:r>
        <w:rPr>
          <w:rFonts w:ascii="Arial" w:hAnsi="Arial" w:cs="Arial"/>
          <w:sz w:val="28"/>
          <w:szCs w:val="32"/>
          <w:lang w:val="en-GB"/>
        </w:rPr>
        <w:t>The initial version adopted by the Resolution № 2 Dated 24 March 2024</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1: GENERAL PROVISIONS</w:t>
      </w:r>
      <w:r>
        <w:rPr>
          <w:rFonts w:ascii="Arial" w:hAnsi="Arial" w:cs="Arial"/>
          <w:b/>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1.1. Interpretation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1.2. Name of a Foundation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1.3. Applicable Law</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1.4. Duration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1.5. Entitlement</w:t>
      </w:r>
      <w:r>
        <w:rPr>
          <w:rFonts w:ascii="Arial" w:hAnsi="Arial" w:cs="Arial"/>
          <w:sz w:val="28"/>
          <w:szCs w:val="32"/>
          <w:lang w:val="en-GB"/>
        </w:rPr>
        <w:tab/>
        <w:t>4</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2: NATURE OF A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2.1. Nature of a Foundation</w:t>
      </w:r>
      <w:r>
        <w:rPr>
          <w:rFonts w:ascii="Arial" w:hAnsi="Arial" w:cs="Arial"/>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3: PROPERTY OF A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4: OBJECTS OF THE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5: SOURCE OF FINANCE OF THE FOUNDATION</w:t>
      </w:r>
      <w:r>
        <w:rPr>
          <w:rFonts w:ascii="Arial" w:hAnsi="Arial" w:cs="Arial"/>
          <w:b/>
          <w:sz w:val="28"/>
          <w:szCs w:val="32"/>
          <w:lang w:val="en-GB"/>
        </w:rPr>
        <w:tab/>
        <w:t>8</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6: AMENDMENTS AND REVOCATIONS</w:t>
      </w:r>
      <w:r>
        <w:rPr>
          <w:rFonts w:ascii="Arial" w:hAnsi="Arial" w:cs="Arial"/>
          <w:b/>
          <w:sz w:val="28"/>
          <w:szCs w:val="32"/>
          <w:lang w:val="en-GB"/>
        </w:rPr>
        <w:tab/>
        <w:t>9</w:t>
      </w:r>
    </w:p>
    <w:p w:rsidR="000E5A41"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7: DECLARATION</w:t>
      </w:r>
      <w:r>
        <w:rPr>
          <w:rFonts w:ascii="Arial" w:hAnsi="Arial" w:cs="Arial"/>
          <w:b/>
          <w:sz w:val="28"/>
          <w:szCs w:val="32"/>
          <w:lang w:val="en-GB"/>
        </w:rPr>
        <w:tab/>
        <w:t>9</w:t>
      </w:r>
    </w:p>
    <w:p w:rsidR="0012107C" w:rsidRPr="000E5A41"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ANNEXES 1–2</w:t>
      </w:r>
      <w:r>
        <w:rPr>
          <w:rFonts w:ascii="Arial" w:hAnsi="Arial" w:cs="Arial"/>
          <w:b/>
          <w:sz w:val="28"/>
          <w:szCs w:val="32"/>
          <w:lang w:val="en-GB"/>
        </w:rPr>
        <w:tab/>
        <w:t>10</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Full legal name of the Foundation in English language is «Central Asia Climate Foundation», abbreviation «CACF»; for official communications, along with the legal name, «Central Asia Climate Foundation» or the abbreviation «CACF», as well as «Project Office for Central Asia on climate change and green energy», are officially used.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Full legal name of the Foundation in Kazakh language is «Орталық Азия Климаттық Қоры», abbreviation «ОАКҚ»;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 Full legal name of the Foundation in Russian language is «Центрально Азиатский Климатический Фонд», abbreviation «ЦАКФ»;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1.5. Entitlement</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The Foundation is independent in setting its objects, policy and in its operation, under supervision of the Guardian Council exercised in the manner and within the limits set out in the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 The Foundation may not carry out any commercial activities, except those necessary for, and ancillary or incidental to, its objects.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2: NATURE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3.2. Any Property of the Foundation can be obtained, given for use entirely or temporally.</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4: OBJECTS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4.1. The Foundation sets following objects: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3) Supporting policy development: assist in the development, advocacy, and implementation of policies and regulations that promote environmental sustainability and climate resilience in collaboration with stakeholders;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lastRenderedPageBreak/>
        <w:t>10) Climate and environmental risk assessment: provision of services on the assessment of physical and transition climate risks and environmental risks for government bodies, organisations and investors;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 xml:space="preserve">12) Educational activities: training, professional development and capacity building of </w:t>
      </w:r>
      <w:r w:rsidR="00A24398">
        <w:rPr>
          <w:rFonts w:ascii="Arial" w:hAnsi="Arial" w:cs="Arial"/>
          <w:sz w:val="28"/>
          <w:szCs w:val="32"/>
          <w:lang w:val="en-GB"/>
        </w:rPr>
        <w:t>specialists in environmental protection, climate change, sustainable development and ESG</w:t>
      </w:r>
      <w:r>
        <w:rPr>
          <w:rFonts w:ascii="Arial" w:hAnsi="Arial" w:cs="Arial"/>
          <w:sz w:val="28"/>
          <w:szCs w:val="32"/>
          <w:lang w:val="en-GB"/>
        </w:rPr>
        <w:t>, including through the Training Centre of the Foundation;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16) Grant support: providing grants and financing environmental and climate projects;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17) Environmental protection: promoting solutions to the problems of waste management, air and water pollution, land degradation and desertification;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lastRenderedPageBreak/>
        <w:t>18) Digital solutions: developing digital tools and platforms, including those based on artificial intelligence and geographic information systems, for collecting, analysing and monitoring environmental and climate data;</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19) Engaging children and youth: developing the «Green Schools» programme, volunteering and environmental education;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5: SOURCE OF FINANCE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5.1. The funds of the Foundation shall consist of donations, grants, gifts, obtained property, as well as from other sources not prohibited by the AIFC Acts.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5.2. The funds raised by the Foundation will be remitted or applied exclusively to support the activities and objects of the Foundation.</w:t>
      </w:r>
    </w:p>
    <w:p w:rsidR="0012107C" w:rsidRPr="0012107C" w:rsidRDefault="000E5A41" w:rsidP="0012107C">
      <w:pPr>
        <w:pageBreakBefore/>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lastRenderedPageBreak/>
        <w:t>PART 6: AMENDMENTS AND REVOCATIONS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6.1. Subject to sections 16(11) and 22(2) of the Regulations, this Charter and the By-laws may be amended: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by the Founder (where the Founder resides or is located) at any time by notice in writing to the Foundation containing the terms of the amendment to the Charter;</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at any time when the Founder has ceased to exist or is not in existence, by the Council if its members have unanimously approved the amendment and with the written consent of the Guardian Council; or</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7: DECLARATION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7.1. Each Founder by signing this Charter declares that it/he/she requests the Management Council to comply with the terms of this Charter (Annex 1);</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7.2. The Management Council members (minimum 2) by signing this Charter declares that it/he/she comply with the terms of this Charter (Annex 2).</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1</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r>
      <w:r w:rsidR="001E4B7A">
        <w:rPr>
          <w:rFonts w:ascii="Arial" w:hAnsi="Arial" w:cs="Arial"/>
          <w:sz w:val="28"/>
          <w:szCs w:val="32"/>
          <w:lang w:val="en-GB"/>
        </w:rPr>
        <w:t>Director, Chief Executive Officer and Authorised Signatory of Climate Action Company Limited</w:t>
      </w:r>
      <w:r w:rsidRPr="0012107C">
        <w:rPr>
          <w:rFonts w:ascii="Arial" w:hAnsi="Arial" w:cs="Arial"/>
          <w:sz w:val="28"/>
          <w:szCs w:val="32"/>
          <w:lang w:val="en-GB"/>
        </w:rPr>
        <w:t xml:space="preserve"> Mr Yerlik Karazhan ________________</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2</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rsidR="0012107C" w:rsidRPr="0012107C" w:rsidRDefault="00D750ED" w:rsidP="0012107C">
      <w:pPr>
        <w:spacing w:after="240" w:line="360" w:lineRule="auto"/>
        <w:ind w:firstLine="709"/>
        <w:jc w:val="both"/>
        <w:rPr>
          <w:rFonts w:ascii="Arial" w:hAnsi="Arial" w:cs="Arial"/>
          <w:sz w:val="28"/>
          <w:szCs w:val="32"/>
          <w:lang w:val="en-GB"/>
        </w:rPr>
      </w:pPr>
      <w:r>
        <w:rPr>
          <w:rFonts w:ascii="Arial" w:hAnsi="Arial" w:cs="Arial"/>
          <w:sz w:val="28"/>
          <w:szCs w:val="32"/>
          <w:lang w:val="en-GB"/>
        </w:rPr>
        <w:t>2. Deputy CEO for Strategy and Projects Mr. Alexander Kononets</w:t>
      </w:r>
      <w:r w:rsidR="000E5A41">
        <w:rPr>
          <w:rFonts w:ascii="Arial" w:hAnsi="Arial" w:cs="Arial"/>
          <w:sz w:val="28"/>
          <w:szCs w:val="32"/>
          <w:lang w:val="en-GB"/>
        </w:rPr>
        <w:t xml:space="preserve"> ________________</w:t>
      </w:r>
    </w:p>
    <w:p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footerReference w:type="even" r:id="rId6"/>
      <w:footerReference w:type="default" r:id="rId7"/>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74D1" w:rsidRDefault="0012107C">
      <w:pPr>
        <w:spacing w:after="0" w:line="240" w:lineRule="auto"/>
      </w:pPr>
      <w:r>
        <w:separator/>
      </w:r>
    </w:p>
  </w:endnote>
  <w:endnote w:type="continuationSeparator" w:id="0">
    <w:p w:rsidR="00CA74D1" w:rsidRDefault="00121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1E4B7A">
      <w:rPr>
        <w:rStyle w:val="ae"/>
        <w:rFonts w:ascii="Calibri" w:hAnsi="Calibri" w:cs="Calibri"/>
        <w:noProof/>
      </w:rPr>
      <w:t>10</w:t>
    </w:r>
    <w:r w:rsidRPr="0012107C">
      <w:rPr>
        <w:rStyle w:val="ae"/>
        <w:rFonts w:ascii="Calibri" w:hAnsi="Calibri" w:cs="Calibri"/>
      </w:rPr>
      <w:fldChar w:fldCharType="end"/>
    </w:r>
  </w:p>
  <w:p w:rsidR="007F4E98" w:rsidRPr="0012107C" w:rsidRDefault="007F4E98">
    <w:pPr>
      <w:pStyle w:val="a6"/>
      <w:rPr>
        <w:rFonts w:ascii="Calibri" w:hAnsi="Calibri" w:cs="Calibri"/>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74D1" w:rsidRDefault="0012107C">
      <w:pPr>
        <w:spacing w:after="0" w:line="240" w:lineRule="auto"/>
      </w:pPr>
      <w:r>
        <w:separator/>
      </w:r>
    </w:p>
  </w:footnote>
  <w:footnote w:type="continuationSeparator" w:id="0">
    <w:p w:rsidR="00CA74D1" w:rsidRDefault="0012107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autoHyphenation/>
  <w:hyphenationZone w:val="0"/>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91E14"/>
    <w:rsid w:val="000E5A41"/>
    <w:rsid w:val="0012107C"/>
    <w:rsid w:val="001E4B7A"/>
    <w:rsid w:val="003233F6"/>
    <w:rsid w:val="007F4E98"/>
    <w:rsid w:val="008963BC"/>
    <w:rsid w:val="00A24398"/>
    <w:rsid w:val="00CA74D1"/>
    <w:rsid w:val="00D750E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11</Pages>
  <Words>1592</Words>
  <Characters>9080</Characters>
  <Application>Microsoft Office Word</Application>
  <DocSecurity>0</DocSecurity>
  <Lines>75</Lines>
  <Paragraphs>21</Paragraphs>
  <ScaleCrop>false</ScaleCrop>
  <Company>CACF</Company>
  <LinksUpToDate>false</LinksUpToDate>
  <CharactersWithSpaces>10651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21</cp:revision>
  <cp:lastPrinted>2025-07-31T16:14:00Z</cp:lastPrinted>
  <dcterms:created xsi:type="dcterms:W3CDTF">2024-03-01T09:50:00Z</dcterms:created>
  <dcterms:modified xsi:type="dcterms:W3CDTF">2026-10-19T11:30:00Z</dcterms:modified>
  <dc:language>en-US</dc:language>
</cp:coreProperties>
</file>