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A31C1E">
      <w:pPr>
        <w:pStyle w:val="mark"/>
      </w:pPr>
      <w:bookmarkStart w:id="0" w:name="_GoBack"/>
      <w:bookmarkEnd w:id="0"/>
      <w:r>
        <w:t>Проект</w:t>
      </w:r>
    </w:p>
    <w:p w:rsidR="00000000" w:rsidRDefault="00A31C1E">
      <w:pPr>
        <w:pStyle w:val="1"/>
        <w:rPr>
          <w:rFonts w:eastAsia="Times New Roman"/>
        </w:rPr>
      </w:pPr>
      <w:r>
        <w:rPr>
          <w:rFonts w:eastAsia="Times New Roman"/>
        </w:rPr>
        <w:t>Потребность в финансировании по месяцам</w:t>
      </w:r>
      <w:r>
        <w:rPr>
          <w:rFonts w:eastAsia="Times New Roman"/>
        </w:rPr>
        <w:br/>
        <w:t>ноябрь – декабрь 2026 года</w:t>
      </w:r>
    </w:p>
    <w:p w:rsidR="00000000" w:rsidRDefault="00A31C1E">
      <w:pPr>
        <w:pStyle w:val="sub"/>
      </w:pPr>
      <w:r>
        <w:t>Центрально-Азиатский климатический фонд и Проектный офис «Таза Қазақстан», ₸</w:t>
      </w:r>
    </w:p>
    <w:p w:rsidR="00000000" w:rsidRDefault="00A31C1E">
      <w:pPr>
        <w:pStyle w:val="a3"/>
      </w:pPr>
      <w:r>
        <w:t xml:space="preserve">Для запуска и работы Проектного офиса в ноябре 2026 года необходимо </w:t>
      </w:r>
      <w:r>
        <w:rPr>
          <w:b/>
          <w:bCs/>
        </w:rPr>
        <w:t>135 346 427 ₸</w:t>
      </w:r>
      <w:r>
        <w:t>, в декабре 2026 года –</w:t>
      </w:r>
      <w:r>
        <w:t xml:space="preserve"> </w:t>
      </w:r>
      <w:r>
        <w:rPr>
          <w:b/>
          <w:bCs/>
        </w:rPr>
        <w:t>109 351 892 ₸</w:t>
      </w:r>
      <w:r>
        <w:t xml:space="preserve">. Всего за два месяца – </w:t>
      </w:r>
      <w:r>
        <w:rPr>
          <w:b/>
          <w:bCs/>
        </w:rPr>
        <w:t>244 698 320 ₸</w:t>
      </w:r>
      <w: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7"/>
        <w:gridCol w:w="1398"/>
        <w:gridCol w:w="1471"/>
        <w:gridCol w:w="1273"/>
      </w:tblGrid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Статья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Ноябрь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Декабрь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Итого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Штатная численность, чел.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Оплата труда и отчисления работодателя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51 960 650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36 424 100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88 384 750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Аутсорс-услуги (с вознаграждением агентства и НДС)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6 881 596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6 881 596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13 763 192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 ОСНС: годовой полис на новых сотрудников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611 143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611 143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 Командировки по РК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1 899 506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1 899 506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3 799 012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 Оснащение офиса (разовые закупки)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12 336 434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1 695 609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14 032 043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6. Офис: аренда, депозит, хозрасходы,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связь, канцелярия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11 829 707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5 212 743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17 042 450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 Цифровые инструменты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332 947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253 500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586 447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 Медиа: таргет, полиграфия, подписки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1 175 000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1 175 000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2 350 000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Прямые затраты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87 026 983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53 542 054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140 569 037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Резерв 10% и прочие расходы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6 411 802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5 354 205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11 766 008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НДС 16% на закупки, аренду, услуги и подписки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3 661 669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1 467 286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5 128 955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А. Организационное обеспечение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97 100 454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60 363 546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157 464 000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Б. Первоочередные проекты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38 245 973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48 988 347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87 234 320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135 346 427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109 351 892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244 698 320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Нарастающим итогом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135 346 427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244 698 320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Разница с 250 млн ₸ (+ остаток / − не хватает)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114 653 573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5 301 680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A31C1E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5 301 680</w:t>
            </w:r>
          </w:p>
        </w:tc>
      </w:tr>
    </w:tbl>
    <w:p w:rsidR="00000000" w:rsidRDefault="00A31C1E">
      <w:pPr>
        <w:pStyle w:val="a3"/>
      </w:pPr>
      <w:r>
        <w:t xml:space="preserve">При финансировании 250 000 000 ₸ после декабря 2026 года остаётся </w:t>
      </w:r>
      <w:r>
        <w:rPr>
          <w:b/>
          <w:bCs/>
        </w:rPr>
        <w:t>5 301 680 ₸</w:t>
      </w:r>
      <w:r>
        <w:t>.</w:t>
      </w:r>
    </w:p>
    <w:p w:rsidR="00000000" w:rsidRDefault="00A31C1E">
      <w:pPr>
        <w:pStyle w:val="a3"/>
      </w:pPr>
      <w:r>
        <w:t>Пояснения к расчёту:</w:t>
      </w:r>
    </w:p>
    <w:p w:rsidR="00000000" w:rsidRDefault="00A31C1E">
      <w:pPr>
        <w:pStyle w:val="a3"/>
        <w:numPr>
          <w:ilvl w:val="0"/>
          <w:numId w:val="1"/>
        </w:numPr>
      </w:pPr>
      <w:r>
        <w:t>в ноябре – аренда офиса с 21 октября, гарантийный депозит, годовой полис ОСНС и основная часть разовых закупок;</w:t>
      </w:r>
    </w:p>
    <w:p w:rsidR="00000000" w:rsidRDefault="00A31C1E">
      <w:pPr>
        <w:pStyle w:val="a3"/>
        <w:numPr>
          <w:ilvl w:val="0"/>
          <w:numId w:val="1"/>
        </w:numPr>
      </w:pPr>
      <w:r>
        <w:t>в декабре – текущие расходы декабря (оплата труда, аутсорс, аренда, подписки, командировки), часть закупок (резервные картриджи и тонеры, оборуд</w:t>
      </w:r>
      <w:r>
        <w:t>ование для зала совещаний, вывеска) и вторая часть первоочередных проектов;</w:t>
      </w:r>
    </w:p>
    <w:p w:rsidR="00000000" w:rsidRDefault="00A31C1E">
      <w:pPr>
        <w:pStyle w:val="a3"/>
        <w:numPr>
          <w:ilvl w:val="0"/>
          <w:numId w:val="1"/>
        </w:numPr>
      </w:pPr>
      <w:r>
        <w:t xml:space="preserve">первоочередные проекты распределены по срокам смет: презентация – в ноябре; социологическое исследование и цифровая платформа – поровну на ноябрь и декабрь; TAZA TALQY, креативные </w:t>
      </w:r>
      <w:r>
        <w:t>проекты и информационное сопровождение – одна треть в ноябре, две трети в декабре;</w:t>
      </w:r>
    </w:p>
    <w:p w:rsidR="00000000" w:rsidRDefault="00A31C1E">
      <w:pPr>
        <w:pStyle w:val="a3"/>
        <w:numPr>
          <w:ilvl w:val="0"/>
          <w:numId w:val="1"/>
        </w:numPr>
      </w:pPr>
      <w:r>
        <w:t>НДС 16% начислен только на закупки, аренду, услуги и подписки, цены которых приняты без НДС; на оплату труда, ОСНС и депозит НДС не начисляется; ставки аутсорса и командиров</w:t>
      </w:r>
      <w:r>
        <w:t>ки учтены с НДС.</w:t>
      </w:r>
    </w:p>
    <w:sectPr w:rsidR="00000000" w:rsidSect="00A31C1E">
      <w:pgSz w:w="11906" w:h="16838"/>
      <w:pgMar w:top="1000" w:right="840" w:bottom="10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5A2AA1"/>
    <w:multiLevelType w:val="multilevel"/>
    <w:tmpl w:val="2A4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31C1E"/>
    <w:rsid w:val="00A3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B87E6D-225B-4250-822E-3C80BD3C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rFonts w:ascii="Arial" w:hAnsi="Arial" w:cs="Arial"/>
      <w:b/>
      <w:bCs/>
      <w:kern w:val="3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  <w:rPr>
      <w:rFonts w:ascii="Arial" w:hAnsi="Arial" w:cs="Arial"/>
      <w:sz w:val="22"/>
      <w:szCs w:val="22"/>
    </w:rPr>
  </w:style>
  <w:style w:type="paragraph" w:customStyle="1" w:styleId="mark">
    <w:name w:val="mark"/>
    <w:basedOn w:val="a"/>
    <w:pPr>
      <w:spacing w:after="120"/>
      <w:jc w:val="right"/>
    </w:pPr>
    <w:rPr>
      <w:rFonts w:ascii="Arial" w:hAnsi="Arial" w:cs="Arial"/>
      <w:i/>
      <w:iCs/>
      <w:sz w:val="20"/>
      <w:szCs w:val="20"/>
    </w:rPr>
  </w:style>
  <w:style w:type="paragraph" w:customStyle="1" w:styleId="sub">
    <w:name w:val="sub"/>
    <w:basedOn w:val="a"/>
    <w:pPr>
      <w:spacing w:after="200"/>
      <w:jc w:val="center"/>
    </w:pPr>
    <w:rPr>
      <w:rFonts w:ascii="Arial" w:hAnsi="Arial" w:cs="Arial"/>
      <w:color w:val="404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1878</Characters>
  <Application>Microsoft Office Word</Application>
  <DocSecurity>4</DocSecurity>
  <Lines>96</Lines>
  <Paragraphs>80</Paragraphs>
  <ScaleCrop>false</ScaleCrop>
  <Company>CACF</Company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2026-10-28T06:42:00Z</dcterms:created>
  <dcterms:modified xsi:type="dcterms:W3CDTF">2026-10-28T06:42:00Z</dcterms:modified>
</cp:coreProperties>
</file>