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DD9621B" w14:textId="77777777" w:rsidR="0033740B" w:rsidRPr="0033740B" w:rsidRDefault="0033740B" w:rsidP="0033740B">
      <w:pPr>
        <w:spacing w:after="0" w:line="240" w:lineRule="auto"/>
        <w:jc w:val="right"/>
        <w:rPr>
          <w:rFonts w:ascii="Times New Roman" w:hAnsi="Times New Roman" w:cs="Times New Roman"/>
          <w:b/>
          <w:sz w:val="24"/>
          <w:szCs w:val="24"/>
        </w:rPr>
      </w:pPr>
      <w:bookmarkStart w:id="0" w:name="_GoBack"/>
      <w:bookmarkEnd w:id="0"/>
      <w:r w:rsidRPr="0033740B">
        <w:rPr>
          <w:rFonts w:ascii="Times New Roman" w:hAnsi="Times New Roman" w:cs="Times New Roman"/>
          <w:b/>
          <w:sz w:val="24"/>
          <w:szCs w:val="24"/>
        </w:rPr>
        <w:t>ПРОЕКТ</w:t>
      </w:r>
    </w:p>
    <w:p w14:paraId="78D108B4" w14:textId="77777777" w:rsidR="0033740B" w:rsidRPr="0033740B" w:rsidRDefault="0033740B" w:rsidP="0033740B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0E6718D0" w14:textId="77777777" w:rsidR="0033740B" w:rsidRPr="0033740B" w:rsidRDefault="0033740B" w:rsidP="0033740B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УТВЕРЖДЕНО</w:t>
      </w:r>
    </w:p>
    <w:p w14:paraId="53D2E8FF" w14:textId="77777777" w:rsidR="0033740B" w:rsidRPr="0033740B" w:rsidRDefault="0033740B" w:rsidP="0033740B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решением Управляющего совета</w:t>
      </w:r>
    </w:p>
    <w:p w14:paraId="32BA8627" w14:textId="77777777" w:rsidR="0033740B" w:rsidRPr="0033740B" w:rsidRDefault="0033740B" w:rsidP="0033740B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Центрально-Азиатского климатического фонда</w:t>
      </w:r>
    </w:p>
    <w:p w14:paraId="382F7AB9" w14:textId="77777777" w:rsidR="0033740B" w:rsidRPr="0033740B" w:rsidRDefault="0033740B" w:rsidP="0033740B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(протокол № ___ от «___» __________ 2026 года)</w:t>
      </w:r>
    </w:p>
    <w:p w14:paraId="2C2B0F3C" w14:textId="77777777" w:rsidR="0033740B" w:rsidRPr="0033740B" w:rsidRDefault="0033740B" w:rsidP="0033740B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575C1258" w14:textId="77777777" w:rsidR="0033740B" w:rsidRPr="0033740B" w:rsidRDefault="0033740B" w:rsidP="0033740B">
      <w:pPr>
        <w:spacing w:before="240"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3740B">
        <w:rPr>
          <w:rFonts w:ascii="Times New Roman" w:hAnsi="Times New Roman" w:cs="Times New Roman"/>
          <w:b/>
          <w:sz w:val="24"/>
          <w:szCs w:val="24"/>
        </w:rPr>
        <w:t>ПОЛОЖЕНИЕ</w:t>
      </w:r>
    </w:p>
    <w:p w14:paraId="525CBD69" w14:textId="77777777" w:rsidR="0033740B" w:rsidRPr="0033740B" w:rsidRDefault="0033740B" w:rsidP="0033740B">
      <w:pPr>
        <w:spacing w:after="24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3740B">
        <w:rPr>
          <w:rFonts w:ascii="Times New Roman" w:hAnsi="Times New Roman" w:cs="Times New Roman"/>
          <w:b/>
          <w:sz w:val="24"/>
          <w:szCs w:val="24"/>
        </w:rPr>
        <w:t>о Проектном офисе для Центральной Азии по изменению климата и зеленой энергетике</w:t>
      </w:r>
    </w:p>
    <w:p w14:paraId="5831908A" w14:textId="77777777" w:rsidR="0033740B" w:rsidRPr="0033740B" w:rsidRDefault="0033740B" w:rsidP="0033740B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3740B">
        <w:rPr>
          <w:rFonts w:ascii="Times New Roman" w:hAnsi="Times New Roman" w:cs="Times New Roman"/>
          <w:b/>
          <w:sz w:val="24"/>
          <w:szCs w:val="24"/>
        </w:rPr>
        <w:t>1. Общие положения</w:t>
      </w:r>
    </w:p>
    <w:p w14:paraId="17F20BD5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1.1. Проектный офис для Центральной Азии по изменению климата и зеленой энергетике (далее – Проектный офис) является структурным подразделением Частного фонда «Central Asia Climate Foundation» (Центрально-Азиатский климатический фонд, далее – Фонд), обеспечивающим региональное и международное направление деятельности Фонда в области охраны окружающей среды, изменения климата и зеленой энергетики.</w:t>
      </w:r>
    </w:p>
    <w:p w14:paraId="7617634A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1.2. Фонд создан 22 февраля 2024 года как юридическая форма Проектного офиса для Центральной Азии по изменению климата и зеленой энергетике во исполнение инициативы Главы государства, озвученной на 78-й сессии Генеральной Ассамблеи ООН. Наименование «Проектный офис для Центральной Азии по изменению климата и зеленой энергетике» используется Фондом в официальных коммуникациях в соответствии с Уставом Фонда. Настоящее Положение определяет порядок работы одноименного структурного подразделения Фонда.</w:t>
      </w:r>
    </w:p>
    <w:p w14:paraId="3B0C9B23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1.3. В пункте 24 Декларации глав государств Центральной Азии «Экологическая солидарность Центральной Азии», принятой на Региональном экологическом саммите (Астана, 22–24 апреля 2026 года), президенты выразили готовность к сотрудничеству в рамках Проектного офиса для Центральной Азии по изменению климата и зеленой энергетике.</w:t>
      </w:r>
    </w:p>
    <w:p w14:paraId="3F42921A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1.4. Проектный офис включен в структуру Фонда решением Управляющего совета Фонда (протокол № 13 от «___» октября 2026 года) на базе экспертной группы Фонда.</w:t>
      </w:r>
    </w:p>
    <w:p w14:paraId="49C5FC38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1.5. Проектный офис не является юридическим лицом, не имеет самостоятельного баланса и печати. Договоры, соглашения и иные документы от имени Фонда подписываются Главным исполнительным директором Фонда либо лицом, уполномоченным доверенностью.</w:t>
      </w:r>
    </w:p>
    <w:p w14:paraId="472429E1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1.6. Проектный офис в своей деятельности руководствуется Регламентом фондов МФЦА и иными актами Международного финансового центра «Астана», законодательством Республики Казахстан в части, применимой к деятельности Фонда, Уставом и Положением Фонда, внутренними документами Фонда, решениями Управляющего совета, приказами Главного исполнительного директора Фонда и настоящим Положением.</w:t>
      </w:r>
    </w:p>
    <w:p w14:paraId="0828E9DB" w14:textId="77777777" w:rsidR="0033740B" w:rsidRPr="0033740B" w:rsidRDefault="0033740B" w:rsidP="0033740B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3740B">
        <w:rPr>
          <w:rFonts w:ascii="Times New Roman" w:hAnsi="Times New Roman" w:cs="Times New Roman"/>
          <w:b/>
          <w:sz w:val="24"/>
          <w:szCs w:val="24"/>
        </w:rPr>
        <w:t>2. Цель и задачи</w:t>
      </w:r>
    </w:p>
    <w:p w14:paraId="36B0E61A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2.1. Цель Проектного офиса – содействие региональному сотрудничеству стран Центральной Азии в области охраны окружающей среды, изменения климата и зеленой энергетики, привлечение международного опыта, партнерств и финансирования для достижения целей Фонда.</w:t>
      </w:r>
    </w:p>
    <w:p w14:paraId="4D23BAEE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2.2. Задачи Проектного офиса:</w:t>
      </w:r>
    </w:p>
    <w:p w14:paraId="76400919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 xml:space="preserve">1) развитие регионального сотрудничества стран Центральной Азии, сопровождение и практическая реализация решений и инициатив, принятых на региональных </w:t>
      </w:r>
      <w:r w:rsidRPr="0033740B">
        <w:rPr>
          <w:rFonts w:ascii="Times New Roman" w:hAnsi="Times New Roman" w:cs="Times New Roman"/>
          <w:sz w:val="24"/>
          <w:szCs w:val="24"/>
        </w:rPr>
        <w:lastRenderedPageBreak/>
        <w:t>климатических и экологических мероприятиях, в том числе на Региональном экологическом саммите;</w:t>
      </w:r>
    </w:p>
    <w:p w14:paraId="40037268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2) развитие партнерств с международными организациями, финансовыми институтами и донорами, привлечение грантового и проектного финансирования;</w:t>
      </w:r>
    </w:p>
    <w:p w14:paraId="61BD3EA1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3) экспертиза проектов, программ и методик в области климата и экологии, внедрение международных методик;</w:t>
      </w:r>
    </w:p>
    <w:p w14:paraId="2B0B67AC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4) экспертное сопровождение проектов Фонда, в том числе инициативы «Таза Қазақстан» (Национальный стандарт чистоты, «Қалдықсыз Қазақстан», качество воды и воздуха);</w:t>
      </w:r>
    </w:p>
    <w:p w14:paraId="32FA3CC1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5) представление опыта инициативы «Таза Қазақстан» как казахстанской модели для стран Центральной Азии.</w:t>
      </w:r>
    </w:p>
    <w:p w14:paraId="3272D111" w14:textId="77777777" w:rsidR="0033740B" w:rsidRPr="0033740B" w:rsidRDefault="0033740B" w:rsidP="0033740B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3740B">
        <w:rPr>
          <w:rFonts w:ascii="Times New Roman" w:hAnsi="Times New Roman" w:cs="Times New Roman"/>
          <w:b/>
          <w:sz w:val="24"/>
          <w:szCs w:val="24"/>
        </w:rPr>
        <w:t>3. Функции</w:t>
      </w:r>
    </w:p>
    <w:p w14:paraId="0861F073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3.1. Проектный офис:</w:t>
      </w:r>
    </w:p>
    <w:p w14:paraId="572FED2F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1) готовит и сопровождает региональные и международные проекты, заявки на гранты и проектную документацию, ведет переписку с партнерами, в том числе на английском языке;</w:t>
      </w:r>
    </w:p>
    <w:p w14:paraId="5BE3FD03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2) проводит экологическую экспертизу, собирает и анализирует данные о состоянии окружающей среды, готовит методические материалы;</w:t>
      </w:r>
    </w:p>
    <w:p w14:paraId="2525C578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3) готовит экспертные заключения и рекомендации в области обращения с отходами, качества воды и воздуха;</w:t>
      </w:r>
    </w:p>
    <w:p w14:paraId="27BB0C88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4) готовит аналитические материалы, обзоры и рекомендации по вопросам изменения климата и зеленой энергетики;</w:t>
      </w:r>
    </w:p>
    <w:p w14:paraId="1EE308C1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5) участвует в работе Экспертного совета и Учебного центра Фонда, готовит материалы для обучения и повышения квалификации специалистов;</w:t>
      </w:r>
    </w:p>
    <w:p w14:paraId="3BCD24E3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6) обеспечивает подготовку к участию Фонда в региональных и международных мероприятиях.</w:t>
      </w:r>
    </w:p>
    <w:p w14:paraId="33E95546" w14:textId="77777777" w:rsidR="0033740B" w:rsidRPr="0033740B" w:rsidRDefault="0033740B" w:rsidP="0033740B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3740B">
        <w:rPr>
          <w:rFonts w:ascii="Times New Roman" w:hAnsi="Times New Roman" w:cs="Times New Roman"/>
          <w:b/>
          <w:sz w:val="24"/>
          <w:szCs w:val="24"/>
        </w:rPr>
        <w:t>4. Структура</w:t>
      </w:r>
    </w:p>
    <w:p w14:paraId="5A2B83D7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4.1. В состав Проектного офиса входят:</w:t>
      </w:r>
    </w:p>
    <w:p w14:paraId="5738B815" w14:textId="634BD0B6" w:rsidR="0033740B" w:rsidRPr="0033740B" w:rsidRDefault="00AF6E39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1) Руководитель Проектного офиса для Центральной Азии по изменению климата и зеленой энергетике;</w:t>
      </w:r>
    </w:p>
    <w:p w14:paraId="72377320" w14:textId="0F2F9C41" w:rsidR="0033740B" w:rsidRPr="0033740B" w:rsidRDefault="00AF6E39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2) Заместитель руководителя Проектного офиса;</w:t>
      </w:r>
    </w:p>
    <w:p w14:paraId="7F46DFFC" w14:textId="3CE41487" w:rsidR="0033740B" w:rsidRPr="0033740B" w:rsidRDefault="00AF6E39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3) Менеджеры проектов – экологи.</w:t>
      </w:r>
    </w:p>
    <w:p w14:paraId="413C62DB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4.2. Штатная численность Проектного офиса определяется штатным расписанием Фонда. Штатные единицы вводятся поэтапно в зависимости от поступления финансирования. Для выполнения отдельных работ могут привлекаться внешние эксперты по договорам.</w:t>
      </w:r>
    </w:p>
    <w:p w14:paraId="01A7E70C" w14:textId="77777777" w:rsidR="0033740B" w:rsidRPr="0033740B" w:rsidRDefault="0033740B" w:rsidP="0033740B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3740B">
        <w:rPr>
          <w:rFonts w:ascii="Times New Roman" w:hAnsi="Times New Roman" w:cs="Times New Roman"/>
          <w:b/>
          <w:sz w:val="24"/>
          <w:szCs w:val="24"/>
        </w:rPr>
        <w:t>5. Руководство</w:t>
      </w:r>
    </w:p>
    <w:p w14:paraId="3B775EC0" w14:textId="700C9ECC" w:rsidR="0033740B" w:rsidRPr="0033740B" w:rsidRDefault="00AF6E39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5.1. Проектный офис возглавляет Руководитель Проектного офиса для Центральной Азии по изменению климата и зеленой энергетике (далее – Руководитель), назначаемый на должность и освобождаемый от должности приказом Главного исполнительного директора Фонда и подчиняющийся Главному исполнительному директору Фонда. До назначения Руководителя, а также по приказу Главного исполнительного директора Фонда обязанности Руководителя исполняет Главный исполнительный директор Фонда; в этом случае руководство Проектным офисом входит в его должностные обязанности, оклад Руководителя и доплата за исполнение обязанностей Руководителя ему не выплачиваются.</w:t>
      </w:r>
    </w:p>
    <w:p w14:paraId="1A0DB2A7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5.2. Руководитель:</w:t>
      </w:r>
    </w:p>
    <w:p w14:paraId="71B8A3A9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1) организует деятельность Проектного офиса и руководит ею, несет ответственность за выполнение возложенных на Проектный офис задач;</w:t>
      </w:r>
    </w:p>
    <w:p w14:paraId="21E65227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2) планирует работу Проектного офиса, распределяет обязанности между работниками;</w:t>
      </w:r>
    </w:p>
    <w:p w14:paraId="0BC14021" w14:textId="1B77E5A5" w:rsidR="0033740B" w:rsidRPr="0033740B" w:rsidRDefault="00AF6E39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3) вносит предложения по плану работы, бюджету,</w:t>
      </w:r>
      <w:r w:rsidR="0033740B" w:rsidRPr="0033740B">
        <w:rPr>
          <w:rFonts w:ascii="Times New Roman" w:hAnsi="Times New Roman" w:cs="Times New Roman"/>
          <w:sz w:val="24"/>
          <w:szCs w:val="24"/>
        </w:rPr>
        <w:t xml:space="preserve"> штатной численности, приему, перемещению, поощрению и взысканию работников Проектного офиса;</w:t>
      </w:r>
    </w:p>
    <w:p w14:paraId="1A5B0458" w14:textId="79E5B4B3" w:rsidR="0033740B" w:rsidRPr="0033740B" w:rsidRDefault="00AF6E39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4) представляет Главному исполнительному директору Фонда отчеты о деятельности Проектного офиса;</w:t>
      </w:r>
    </w:p>
    <w:p w14:paraId="11277C7E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5) представляет Проектный офис в отношениях с международными организациями, государственными органами стран Центральной Азии и партнерами в пределах полномочий, предоставленных Главным исполнительным директором Фонда.</w:t>
      </w:r>
    </w:p>
    <w:p w14:paraId="6C1389CF" w14:textId="77777777" w:rsidR="00813E4D" w:rsidRPr="0033740B" w:rsidRDefault="00813E4D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5.3. На период временного отсутствия Руководителя текущей деятельностью Проектного офиса руководит работник Проектного офиса, назначенный приказом Главного исполнительного директора Фонда.</w:t>
      </w:r>
    </w:p>
    <w:p w14:paraId="7D25B6E2" w14:textId="77777777" w:rsidR="00813E4D" w:rsidRPr="0033740B" w:rsidRDefault="00813E4D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5.4. Главный исполнительный директор Фонда вправе приказом поручить координацию текущей деятельности Проектного офиса работнику Проектного офиса с определением объема поручаемых полномочий.</w:t>
      </w:r>
    </w:p>
    <w:p w14:paraId="4895E1C9" w14:textId="37390AF8" w:rsidR="0033740B" w:rsidRPr="0033740B" w:rsidRDefault="00813E4D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5.5. Проектный офис работает по годовому плану работы, который разрабатывается Проектным офисом с учетом Стратегии развития Фонда и утверждается Главным исполнительным директором Фонда. Проекты и мероприятия Проектного офиса включаются в план работы и реализуются в пределах утвержденного бюджета Фонда.</w:t>
      </w:r>
    </w:p>
    <w:p w14:paraId="3EE29FC2" w14:textId="77777777" w:rsidR="0033740B" w:rsidRPr="0033740B" w:rsidRDefault="0033740B" w:rsidP="0033740B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3740B">
        <w:rPr>
          <w:rFonts w:ascii="Times New Roman" w:hAnsi="Times New Roman" w:cs="Times New Roman"/>
          <w:b/>
          <w:sz w:val="24"/>
          <w:szCs w:val="24"/>
        </w:rPr>
        <w:t>6. Взаимодействие</w:t>
      </w:r>
    </w:p>
    <w:p w14:paraId="4B00C532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6.1. Проектный офис взаимодействует с Проектным офисом «Таза Қазақстан» и другими структурными подразделениями Фонда, а также с международными организациями, государственными органами и организациями стран Центральной Азии, экспертным и научным сообществом.</w:t>
      </w:r>
    </w:p>
    <w:p w14:paraId="6647A023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6.2. Обращения и предложения Проектного офиса к международным партнерам и государственным органам направляются от имени Фонда за подписью Главного исполнительного директора Фонда либо уполномоченного лица.</w:t>
      </w:r>
    </w:p>
    <w:p w14:paraId="27D39271" w14:textId="77777777" w:rsidR="0033740B" w:rsidRPr="0033740B" w:rsidRDefault="0033740B" w:rsidP="0033740B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3740B">
        <w:rPr>
          <w:rFonts w:ascii="Times New Roman" w:hAnsi="Times New Roman" w:cs="Times New Roman"/>
          <w:b/>
          <w:sz w:val="24"/>
          <w:szCs w:val="24"/>
        </w:rPr>
        <w:t>7. Финансирование и отчетность</w:t>
      </w:r>
    </w:p>
    <w:p w14:paraId="44004460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7.1. Деятельность Проектного офиса финансируется в пределах бюджета Фонда за счет средств Фонда, грантов и иных внебюджетных источников.</w:t>
      </w:r>
    </w:p>
    <w:p w14:paraId="503EFB16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7.2. Средства грантов и целевого финансирования учитываются раздельно и используются по целевому назначению.</w:t>
      </w:r>
    </w:p>
    <w:p w14:paraId="18B95434" w14:textId="2AF0E338" w:rsidR="0033740B" w:rsidRPr="0033740B" w:rsidRDefault="00AF6E39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7.3. Руководитель ежеквартально представляет Главному исполнительному директору Фонда отчет о деятельности Проектного офиса (при исполнении обязанностей Руководителя Главным исполнительным директором отчет готовит Заместитель руководителя Проектного офиса).</w:t>
      </w:r>
      <w:r w:rsidR="00672638">
        <w:rPr>
          <w:rFonts w:ascii="Times New Roman" w:hAnsi="Times New Roman" w:cs="Times New Roman"/>
          <w:sz w:val="24"/>
          <w:szCs w:val="24"/>
        </w:rPr>
        <w:t xml:space="preserve"> Отчет за год включается в годовой отчет о деятельности Фонда.</w:t>
      </w:r>
    </w:p>
    <w:p w14:paraId="66CA2AAB" w14:textId="77777777" w:rsidR="0033740B" w:rsidRPr="0033740B" w:rsidRDefault="0033740B" w:rsidP="0033740B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3740B">
        <w:rPr>
          <w:rFonts w:ascii="Times New Roman" w:hAnsi="Times New Roman" w:cs="Times New Roman"/>
          <w:b/>
          <w:sz w:val="24"/>
          <w:szCs w:val="24"/>
        </w:rPr>
        <w:t>8. Ответственность</w:t>
      </w:r>
    </w:p>
    <w:p w14:paraId="7D60A690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8.1. Руководитель и работники Проектного офиса несут ответственность за надлежащее исполнение своих обязанностей, сохранность имущества и конфиденциальность информации в соответствии с трудовыми договорами, должностными инструкциями и внутренними документами Фонда.</w:t>
      </w:r>
    </w:p>
    <w:p w14:paraId="2F96E465" w14:textId="77777777" w:rsidR="0033740B" w:rsidRPr="0033740B" w:rsidRDefault="0033740B" w:rsidP="0033740B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3740B">
        <w:rPr>
          <w:rFonts w:ascii="Times New Roman" w:hAnsi="Times New Roman" w:cs="Times New Roman"/>
          <w:b/>
          <w:sz w:val="24"/>
          <w:szCs w:val="24"/>
        </w:rPr>
        <w:t>9. Заключительные положения</w:t>
      </w:r>
    </w:p>
    <w:p w14:paraId="76BB1A0A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9.1. Настоящее Положение, изменения и дополнения в него утверждаются Управляющим советом Фонда.</w:t>
      </w:r>
    </w:p>
    <w:p w14:paraId="1473D093" w14:textId="02E2E421" w:rsidR="00657A6D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9.2. Проектный офис реорганизуется или упраздняется решением Управляющего совета Фонда.</w:t>
      </w:r>
    </w:p>
    <w:sectPr w:rsidR="00657A6D" w:rsidRPr="0033740B" w:rsidSect="0033740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850" w:bottom="1134" w:left="17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E308816" w14:textId="77777777" w:rsidR="00956A4B" w:rsidRDefault="00956A4B" w:rsidP="00771F00">
      <w:pPr>
        <w:spacing w:after="0" w:line="240" w:lineRule="auto"/>
      </w:pPr>
      <w:r>
        <w:separator/>
      </w:r>
    </w:p>
  </w:endnote>
  <w:endnote w:type="continuationSeparator" w:id="0">
    <w:p w14:paraId="4FA75FA3" w14:textId="77777777" w:rsidR="00956A4B" w:rsidRDefault="00956A4B" w:rsidP="00771F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B819300" w14:textId="77777777" w:rsidR="0033740B" w:rsidRDefault="0033740B" w:rsidP="00560D96">
    <w:pPr>
      <w:pStyle w:val="a5"/>
      <w:framePr w:wrap="around" w:vAnchor="text" w:hAnchor="margin" w:xAlign="center" w:y="1"/>
      <w:rPr>
        <w:rStyle w:val="ab"/>
      </w:rPr>
    </w:pPr>
    <w:r>
      <w:rPr>
        <w:rStyle w:val="ab"/>
      </w:rPr>
      <w:fldChar w:fldCharType="begin"/>
    </w:r>
    <w:r>
      <w:rPr>
        <w:rStyle w:val="ab"/>
      </w:rPr>
      <w:instrText xml:space="preserve">PAGE  </w:instrText>
    </w:r>
    <w:r>
      <w:rPr>
        <w:rStyle w:val="ab"/>
      </w:rPr>
      <w:fldChar w:fldCharType="end"/>
    </w:r>
  </w:p>
  <w:p w14:paraId="7D575820" w14:textId="77777777" w:rsidR="0033740B" w:rsidRDefault="0033740B">
    <w:pPr>
      <w:pStyle w:val="a5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4F154FF" w14:textId="77777777" w:rsidR="0033740B" w:rsidRDefault="0033740B" w:rsidP="00560D96">
    <w:pPr>
      <w:pStyle w:val="a5"/>
      <w:framePr w:wrap="around" w:vAnchor="text" w:hAnchor="margin" w:xAlign="center" w:y="1"/>
      <w:rPr>
        <w:rStyle w:val="ab"/>
      </w:rPr>
    </w:pPr>
    <w:r>
      <w:rPr>
        <w:rStyle w:val="ab"/>
      </w:rPr>
      <w:fldChar w:fldCharType="begin"/>
    </w:r>
    <w:r>
      <w:rPr>
        <w:rStyle w:val="ab"/>
      </w:rPr>
      <w:instrText xml:space="preserve">PAGE  </w:instrText>
    </w:r>
    <w:r>
      <w:rPr>
        <w:rStyle w:val="ab"/>
      </w:rPr>
      <w:fldChar w:fldCharType="separate"/>
    </w:r>
    <w:r w:rsidR="00AF6E39">
      <w:rPr>
        <w:rStyle w:val="ab"/>
        <w:noProof/>
      </w:rPr>
      <w:t>2</w:t>
    </w:r>
    <w:r>
      <w:rPr>
        <w:rStyle w:val="ab"/>
      </w:rPr>
      <w:fldChar w:fldCharType="end"/>
    </w:r>
  </w:p>
  <w:p w14:paraId="2071634A" w14:textId="77777777" w:rsidR="0033740B" w:rsidRDefault="0033740B">
    <w:pPr>
      <w:pStyle w:val="a5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EEF4AE6" w14:textId="77777777" w:rsidR="0033740B" w:rsidRDefault="0033740B">
    <w:pPr>
      <w:pStyle w:val="a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3B5D20F" w14:textId="77777777" w:rsidR="00956A4B" w:rsidRDefault="00956A4B" w:rsidP="00771F00">
      <w:pPr>
        <w:spacing w:after="0" w:line="240" w:lineRule="auto"/>
      </w:pPr>
      <w:r>
        <w:separator/>
      </w:r>
    </w:p>
  </w:footnote>
  <w:footnote w:type="continuationSeparator" w:id="0">
    <w:p w14:paraId="0B8CBF51" w14:textId="77777777" w:rsidR="00956A4B" w:rsidRDefault="00956A4B" w:rsidP="00771F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EE3B9E8" w14:textId="77777777" w:rsidR="0033740B" w:rsidRDefault="0033740B">
    <w:pPr>
      <w:pStyle w:val="a3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7215C2E" w14:textId="77777777" w:rsidR="0033740B" w:rsidRDefault="0033740B">
    <w:pPr>
      <w:pStyle w:val="a3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66E5CE2" w14:textId="77777777" w:rsidR="0033740B" w:rsidRDefault="0033740B">
    <w:pPr>
      <w:pStyle w:val="a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95C211A"/>
    <w:multiLevelType w:val="hybridMultilevel"/>
    <w:tmpl w:val="2E20E6E8"/>
    <w:lvl w:ilvl="0" w:tplc="0419000F">
      <w:start w:val="1"/>
      <w:numFmt w:val="decimal"/>
      <w:lvlText w:val="%1."/>
      <w:lvlJc w:val="left"/>
      <w:pPr>
        <w:ind w:left="1425" w:hanging="360"/>
      </w:pPr>
    </w:lvl>
    <w:lvl w:ilvl="1" w:tplc="04190019" w:tentative="1">
      <w:start w:val="1"/>
      <w:numFmt w:val="lowerLetter"/>
      <w:lvlText w:val="%2."/>
      <w:lvlJc w:val="left"/>
      <w:pPr>
        <w:ind w:left="2145" w:hanging="360"/>
      </w:pPr>
    </w:lvl>
    <w:lvl w:ilvl="2" w:tplc="0419001B" w:tentative="1">
      <w:start w:val="1"/>
      <w:numFmt w:val="lowerRoman"/>
      <w:lvlText w:val="%3."/>
      <w:lvlJc w:val="right"/>
      <w:pPr>
        <w:ind w:left="2865" w:hanging="180"/>
      </w:pPr>
    </w:lvl>
    <w:lvl w:ilvl="3" w:tplc="0419000F" w:tentative="1">
      <w:start w:val="1"/>
      <w:numFmt w:val="decimal"/>
      <w:lvlText w:val="%4."/>
      <w:lvlJc w:val="left"/>
      <w:pPr>
        <w:ind w:left="3585" w:hanging="360"/>
      </w:pPr>
    </w:lvl>
    <w:lvl w:ilvl="4" w:tplc="04190019" w:tentative="1">
      <w:start w:val="1"/>
      <w:numFmt w:val="lowerLetter"/>
      <w:lvlText w:val="%5."/>
      <w:lvlJc w:val="left"/>
      <w:pPr>
        <w:ind w:left="4305" w:hanging="360"/>
      </w:pPr>
    </w:lvl>
    <w:lvl w:ilvl="5" w:tplc="0419001B" w:tentative="1">
      <w:start w:val="1"/>
      <w:numFmt w:val="lowerRoman"/>
      <w:lvlText w:val="%6."/>
      <w:lvlJc w:val="right"/>
      <w:pPr>
        <w:ind w:left="5025" w:hanging="180"/>
      </w:pPr>
    </w:lvl>
    <w:lvl w:ilvl="6" w:tplc="0419000F" w:tentative="1">
      <w:start w:val="1"/>
      <w:numFmt w:val="decimal"/>
      <w:lvlText w:val="%7."/>
      <w:lvlJc w:val="left"/>
      <w:pPr>
        <w:ind w:left="5745" w:hanging="360"/>
      </w:pPr>
    </w:lvl>
    <w:lvl w:ilvl="7" w:tplc="04190019" w:tentative="1">
      <w:start w:val="1"/>
      <w:numFmt w:val="lowerLetter"/>
      <w:lvlText w:val="%8."/>
      <w:lvlJc w:val="left"/>
      <w:pPr>
        <w:ind w:left="6465" w:hanging="360"/>
      </w:pPr>
    </w:lvl>
    <w:lvl w:ilvl="8" w:tplc="0419001B" w:tentative="1">
      <w:start w:val="1"/>
      <w:numFmt w:val="lowerRoman"/>
      <w:lvlText w:val="%9."/>
      <w:lvlJc w:val="right"/>
      <w:pPr>
        <w:ind w:left="7185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056A4"/>
    <w:rsid w:val="00024961"/>
    <w:rsid w:val="0005731C"/>
    <w:rsid w:val="000C1B80"/>
    <w:rsid w:val="0011670F"/>
    <w:rsid w:val="001576FB"/>
    <w:rsid w:val="001673E7"/>
    <w:rsid w:val="00182BF4"/>
    <w:rsid w:val="001A5083"/>
    <w:rsid w:val="001C3244"/>
    <w:rsid w:val="002379D7"/>
    <w:rsid w:val="00237BF1"/>
    <w:rsid w:val="002A29EF"/>
    <w:rsid w:val="002C16B0"/>
    <w:rsid w:val="002D7F81"/>
    <w:rsid w:val="002E4ED6"/>
    <w:rsid w:val="00300E96"/>
    <w:rsid w:val="0033740B"/>
    <w:rsid w:val="003717BA"/>
    <w:rsid w:val="00377609"/>
    <w:rsid w:val="003A2F44"/>
    <w:rsid w:val="003C6D97"/>
    <w:rsid w:val="0043450D"/>
    <w:rsid w:val="00443939"/>
    <w:rsid w:val="00497EE1"/>
    <w:rsid w:val="004A12F2"/>
    <w:rsid w:val="004D40F8"/>
    <w:rsid w:val="004E1A2A"/>
    <w:rsid w:val="0050306E"/>
    <w:rsid w:val="0052211B"/>
    <w:rsid w:val="0053003B"/>
    <w:rsid w:val="0057530C"/>
    <w:rsid w:val="00597588"/>
    <w:rsid w:val="006056A4"/>
    <w:rsid w:val="0064591D"/>
    <w:rsid w:val="006549D0"/>
    <w:rsid w:val="00657A6D"/>
    <w:rsid w:val="006700A7"/>
    <w:rsid w:val="00672638"/>
    <w:rsid w:val="006B7A15"/>
    <w:rsid w:val="006C3898"/>
    <w:rsid w:val="006E05AC"/>
    <w:rsid w:val="006E7142"/>
    <w:rsid w:val="00700531"/>
    <w:rsid w:val="00764B71"/>
    <w:rsid w:val="00771F00"/>
    <w:rsid w:val="0077787D"/>
    <w:rsid w:val="007F6652"/>
    <w:rsid w:val="007F693E"/>
    <w:rsid w:val="00813E4D"/>
    <w:rsid w:val="00820A1C"/>
    <w:rsid w:val="00826944"/>
    <w:rsid w:val="008400FE"/>
    <w:rsid w:val="008E6885"/>
    <w:rsid w:val="008F047D"/>
    <w:rsid w:val="00906B7C"/>
    <w:rsid w:val="0095069A"/>
    <w:rsid w:val="00956A4B"/>
    <w:rsid w:val="009D6A80"/>
    <w:rsid w:val="009F09DB"/>
    <w:rsid w:val="009F19B6"/>
    <w:rsid w:val="009F1CD8"/>
    <w:rsid w:val="00A021B6"/>
    <w:rsid w:val="00A26175"/>
    <w:rsid w:val="00A47179"/>
    <w:rsid w:val="00AB72E4"/>
    <w:rsid w:val="00AE09EF"/>
    <w:rsid w:val="00AF6E39"/>
    <w:rsid w:val="00B81B6F"/>
    <w:rsid w:val="00BB15DA"/>
    <w:rsid w:val="00BC6766"/>
    <w:rsid w:val="00BF704F"/>
    <w:rsid w:val="00C07369"/>
    <w:rsid w:val="00C40A05"/>
    <w:rsid w:val="00C6405E"/>
    <w:rsid w:val="00C90711"/>
    <w:rsid w:val="00CA283F"/>
    <w:rsid w:val="00CA3F36"/>
    <w:rsid w:val="00D33A6A"/>
    <w:rsid w:val="00D52FEE"/>
    <w:rsid w:val="00DA30BF"/>
    <w:rsid w:val="00DB09E5"/>
    <w:rsid w:val="00DB7E48"/>
    <w:rsid w:val="00DE5219"/>
    <w:rsid w:val="00E01810"/>
    <w:rsid w:val="00E05E21"/>
    <w:rsid w:val="00E53A93"/>
    <w:rsid w:val="00E71E09"/>
    <w:rsid w:val="00EE457B"/>
    <w:rsid w:val="00F058B9"/>
    <w:rsid w:val="00F4571F"/>
    <w:rsid w:val="00FB6B85"/>
    <w:rsid w:val="00FE2A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FADA64"/>
  <w15:chartTrackingRefBased/>
  <w15:docId w15:val="{1942A3CB-4654-4B4D-BB42-E0B8A13B8D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1F0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771F00"/>
  </w:style>
  <w:style w:type="paragraph" w:styleId="a5">
    <w:name w:val="footer"/>
    <w:basedOn w:val="a"/>
    <w:link w:val="a6"/>
    <w:uiPriority w:val="99"/>
    <w:unhideWhenUsed/>
    <w:rsid w:val="00771F0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771F00"/>
  </w:style>
  <w:style w:type="paragraph" w:styleId="a7">
    <w:name w:val="List Paragraph"/>
    <w:basedOn w:val="a"/>
    <w:uiPriority w:val="34"/>
    <w:qFormat/>
    <w:rsid w:val="00771F00"/>
    <w:pPr>
      <w:ind w:left="720"/>
      <w:contextualSpacing/>
    </w:pPr>
  </w:style>
  <w:style w:type="table" w:styleId="a8">
    <w:name w:val="Table Grid"/>
    <w:basedOn w:val="a1"/>
    <w:uiPriority w:val="39"/>
    <w:rsid w:val="000C1B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Balloon Text"/>
    <w:basedOn w:val="a"/>
    <w:link w:val="aa"/>
    <w:uiPriority w:val="99"/>
    <w:semiHidden/>
    <w:unhideWhenUsed/>
    <w:rsid w:val="00F058B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F058B9"/>
    <w:rPr>
      <w:rFonts w:ascii="Segoe UI" w:hAnsi="Segoe UI" w:cs="Segoe UI"/>
      <w:sz w:val="18"/>
      <w:szCs w:val="18"/>
    </w:rPr>
  </w:style>
  <w:style w:type="character" w:styleId="ab">
    <w:name w:val="page number"/>
    <w:basedOn w:val="a0"/>
    <w:uiPriority w:val="99"/>
    <w:semiHidden/>
    <w:unhideWhenUsed/>
    <w:rsid w:val="00337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3</Pages>
  <Words>1098</Words>
  <Characters>7086</Characters>
  <Application>Microsoft Office Word</Application>
  <DocSecurity>0</DocSecurity>
  <Lines>133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CACF</Company>
  <LinksUpToDate>false</LinksUpToDate>
  <CharactersWithSpaces>8150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Рамазан Кумарбекович</dc:creator>
  <cp:keywords/>
  <dc:description/>
  <cp:lastModifiedBy>Учетная запись Майкрософт</cp:lastModifiedBy>
  <cp:revision>52</cp:revision>
  <cp:lastPrinted>2026-09-28T12:28:00Z</cp:lastPrinted>
  <dcterms:created xsi:type="dcterms:W3CDTF">2024-04-22T06:36:00Z</dcterms:created>
  <dcterms:modified xsi:type="dcterms:W3CDTF">2026-10-29T07:15:00Z</dcterms:modified>
</cp:coreProperties>
</file>