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F9F011" w14:textId="77777777" w:rsidR="00924867" w:rsidRPr="00644BA3" w:rsidRDefault="00924867" w:rsidP="009248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55E8826D" w14:textId="68910AF0" w:rsidR="00780F9A" w:rsidRPr="008E6FCF" w:rsidRDefault="00A83BA3" w:rsidP="008E6FC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Сравнительная таблица по внесению изменений и дополнений в Устав ЦАКФ</w:t>
      </w:r>
    </w:p>
    <w:p w14:paraId="658704D8" w14:textId="77777777" w:rsidR="00780F9A" w:rsidRPr="008E6FCF" w:rsidRDefault="00780F9A" w:rsidP="009248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84"/>
        <w:gridCol w:w="3531"/>
        <w:gridCol w:w="6402"/>
        <w:gridCol w:w="3743"/>
      </w:tblGrid>
      <w:tr w:rsidR="00644BA3" w:rsidRPr="00644BA3" w14:paraId="33C12C2E" w14:textId="77777777" w:rsidTr="00A83BA3">
        <w:trPr>
          <w:trHeight w:val="699"/>
        </w:trPr>
        <w:tc>
          <w:tcPr>
            <w:tcW w:w="884" w:type="dxa"/>
            <w:tcBorders>
              <w:bottom w:val="single" w:sz="4" w:space="0" w:color="auto"/>
            </w:tcBorders>
          </w:tcPr>
          <w:p w14:paraId="3881A9FA" w14:textId="64092C0D" w:rsidR="00644BA3" w:rsidRPr="00644BA3" w:rsidRDefault="00A83BA3" w:rsidP="00644B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531" w:type="dxa"/>
            <w:tcBorders>
              <w:bottom w:val="single" w:sz="4" w:space="0" w:color="auto"/>
            </w:tcBorders>
          </w:tcPr>
          <w:p w14:paraId="61629CA2" w14:textId="49656C5C" w:rsidR="00644BA3" w:rsidRPr="00644BA3" w:rsidRDefault="00A83BA3" w:rsidP="00644B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Действующая редакция</w:t>
            </w:r>
          </w:p>
        </w:tc>
        <w:tc>
          <w:tcPr>
            <w:tcW w:w="6402" w:type="dxa"/>
            <w:tcBorders>
              <w:bottom w:val="single" w:sz="4" w:space="0" w:color="auto"/>
            </w:tcBorders>
          </w:tcPr>
          <w:p w14:paraId="1F1FD143" w14:textId="7DAA1B21" w:rsidR="00644BA3" w:rsidRPr="00644BA3" w:rsidRDefault="00A83BA3" w:rsidP="00644B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Предлагаемая редакция</w:t>
            </w:r>
          </w:p>
        </w:tc>
        <w:tc>
          <w:tcPr>
            <w:tcW w:w="3743" w:type="dxa"/>
            <w:tcBorders>
              <w:bottom w:val="single" w:sz="4" w:space="0" w:color="auto"/>
            </w:tcBorders>
          </w:tcPr>
          <w:p w14:paraId="22ABCC16" w14:textId="7EAA5610" w:rsidR="00644BA3" w:rsidRPr="00644BA3" w:rsidRDefault="00A83BA3" w:rsidP="00644B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Обоснование</w:t>
            </w:r>
          </w:p>
        </w:tc>
      </w:tr>
      <w:tr w:rsidR="00A83BA3" w:rsidRPr="00644BA3" w14:paraId="2B8E7108" w14:textId="77777777" w:rsidTr="00A83BA3">
        <w:tc>
          <w:tcPr>
            <w:tcW w:w="14560" w:type="dxa"/>
            <w:gridSpan w:val="4"/>
            <w:tcBorders>
              <w:bottom w:val="single" w:sz="4" w:space="0" w:color="auto"/>
            </w:tcBorders>
            <w:shd w:val="clear" w:color="auto" w:fill="F2F2F2"/>
          </w:tcPr>
          <w:p w14:paraId="2ECDE31C" w14:textId="19A1A53E" w:rsidR="00A83BA3" w:rsidRPr="00A83BA3" w:rsidRDefault="00A83BA3" w:rsidP="00A83B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I. Наименование Фонда</w:t>
            </w:r>
          </w:p>
        </w:tc>
      </w:tr>
      <w:tr w:rsidR="00A83BA3" w:rsidRPr="00644BA3" w14:paraId="5E76528F" w14:textId="77777777" w:rsidTr="00A83BA3">
        <w:tc>
          <w:tcPr>
            <w:tcW w:w="884" w:type="dxa"/>
            <w:tcBorders>
              <w:bottom w:val="single" w:sz="4" w:space="0" w:color="auto"/>
            </w:tcBorders>
            <w:shd w:val="clear" w:color="auto" w:fill="auto"/>
          </w:tcPr>
          <w:p w14:paraId="209664EE" w14:textId="4646650A" w:rsidR="00A83BA3" w:rsidRPr="00A83BA3" w:rsidRDefault="00A83BA3" w:rsidP="00A83BA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31" w:type="dxa"/>
            <w:tcBorders>
              <w:bottom w:val="single" w:sz="4" w:space="0" w:color="auto"/>
            </w:tcBorders>
            <w:shd w:val="clear" w:color="auto" w:fill="auto"/>
          </w:tcPr>
          <w:p w14:paraId="1213CD9D" w14:textId="77777777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1.2. Название Фонда</w:t>
            </w:r>
          </w:p>
          <w:p w14:paraId="1CAD648A" w14:textId="77777777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1) Полное наименование Фонда на английском языке: «Central Asia Climate Foundation», сокращение «CACF».</w:t>
            </w:r>
          </w:p>
          <w:p w14:paraId="0D4BB73A" w14:textId="77777777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2) Полное наименование Фонда на казахском языке: «Орталық Азия Климаттық Қоры», сокращение «ОАКҚ».</w:t>
            </w:r>
          </w:p>
          <w:p w14:paraId="44AAD467" w14:textId="7F83418F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3) Полное наименование Фонда на русском языке: «Центрально-Азиатский Климатический Фонд», сокращение «ЦАКФ».</w:t>
            </w:r>
          </w:p>
        </w:tc>
        <w:tc>
          <w:tcPr>
            <w:tcW w:w="6402" w:type="dxa"/>
            <w:tcBorders>
              <w:bottom w:val="single" w:sz="4" w:space="0" w:color="auto"/>
            </w:tcBorders>
            <w:shd w:val="clear" w:color="auto" w:fill="auto"/>
          </w:tcPr>
          <w:p w14:paraId="192CCF50" w14:textId="77777777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1.2. Название Фонда</w:t>
            </w:r>
          </w:p>
          <w:p w14:paraId="6413FDCD" w14:textId="1144FEF9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 xml:space="preserve">1) Полное </w:t>
            </w: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юридическое</w:t>
            </w: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 xml:space="preserve"> наименование Фонда на английском языке: «Central Asia Climate Foundation», сокращение «CACF»</w:t>
            </w: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; для официальных коммуникаций наряду с юридическим наименованием официально используется «Central Asia Climate Foundation» или сокращение «CACF», а также «Project Office for Central Asia on climate change and green energy»</w:t>
            </w: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8D99F89" w14:textId="3E069107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 xml:space="preserve">2) Полное </w:t>
            </w: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юридическое</w:t>
            </w: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 xml:space="preserve"> наименование Фонда на казахском языке: «Орталық Азия Климаттық Қоры», сокращение «ОАКҚ»</w:t>
            </w: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; для официальных коммуникаций наряду с юридическим наименованием официально используется «Орталық Азия Климаттық Қоры» или сокращение «ОАКҚ», а также «Орталық Азияның климаттың өзгеруі және жасыл энергетика бойынша Жобалық Офисі»</w:t>
            </w: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8A35A5E" w14:textId="25022C8E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3) Полное </w:t>
            </w: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юридическое</w:t>
            </w: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 xml:space="preserve"> наименование Фонда на русском языке: «Центрально-Азиатский Климатический Фонд», сокращение «ЦАКФ»</w:t>
            </w: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; для официальных коммуникаций наряду с юридическим наименованием официально используется «Центрально-Азиатский Климатический Фонд» или сокращение «ЦАКФ», а также «Проектный офис для Центральной Азии по изменению климата и зеленой энергетике»</w:t>
            </w: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743" w:type="dxa"/>
            <w:tcBorders>
              <w:bottom w:val="single" w:sz="4" w:space="0" w:color="auto"/>
            </w:tcBorders>
            <w:shd w:val="clear" w:color="auto" w:fill="auto"/>
          </w:tcPr>
          <w:p w14:paraId="5DCEB804" w14:textId="4F0BAA9B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Закрепление наименований, используемых в официальных коммуникациях, в том числе наименования Проектного офиса для Центральной Азии по изменению климата и зеленой энергетике. Юридические наименования не изменяются </w:t>
            </w:r>
            <w:r w:rsidR="00011247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 xml:space="preserve"> в соответствии с сертификатом о регистрации Фонда в МФЦА</w:t>
            </w:r>
          </w:p>
        </w:tc>
      </w:tr>
      <w:tr w:rsidR="00A83BA3" w:rsidRPr="00644BA3" w14:paraId="0F0E99AA" w14:textId="77777777" w:rsidTr="00A83BA3">
        <w:tc>
          <w:tcPr>
            <w:tcW w:w="14560" w:type="dxa"/>
            <w:gridSpan w:val="4"/>
            <w:tcBorders>
              <w:bottom w:val="single" w:sz="4" w:space="0" w:color="auto"/>
            </w:tcBorders>
            <w:shd w:val="clear" w:color="auto" w:fill="F2F2F2"/>
          </w:tcPr>
          <w:p w14:paraId="28E90918" w14:textId="022E8D35" w:rsidR="00A83BA3" w:rsidRPr="00A83BA3" w:rsidRDefault="00A83BA3" w:rsidP="00A83B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II. Цели (направления деятельности) Фонда</w:t>
            </w:r>
          </w:p>
        </w:tc>
      </w:tr>
      <w:tr w:rsidR="00A83BA3" w:rsidRPr="00644BA3" w14:paraId="471C2BD0" w14:textId="77777777" w:rsidTr="00A83BA3">
        <w:tc>
          <w:tcPr>
            <w:tcW w:w="884" w:type="dxa"/>
            <w:tcBorders>
              <w:bottom w:val="single" w:sz="4" w:space="0" w:color="auto"/>
            </w:tcBorders>
            <w:shd w:val="clear" w:color="auto" w:fill="auto"/>
          </w:tcPr>
          <w:p w14:paraId="5798A0B8" w14:textId="68FFB151" w:rsidR="00A83BA3" w:rsidRPr="00A83BA3" w:rsidRDefault="00A83BA3" w:rsidP="00A83BA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31" w:type="dxa"/>
            <w:tcBorders>
              <w:bottom w:val="single" w:sz="4" w:space="0" w:color="auto"/>
            </w:tcBorders>
            <w:shd w:val="clear" w:color="auto" w:fill="auto"/>
          </w:tcPr>
          <w:p w14:paraId="709A882E" w14:textId="77777777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Часть 3. Цели Фонда.</w:t>
            </w:r>
          </w:p>
          <w:p w14:paraId="5A861B34" w14:textId="77777777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3.1. Фонд ставит перед собой следующие цели:</w:t>
            </w:r>
          </w:p>
          <w:p w14:paraId="40DAE953" w14:textId="77777777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155AA796" w14:textId="1391A9CC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 xml:space="preserve">7) Повышение осведомленности и развитие потенциала: развивать потенциал заинтересованных сторон в области изменения климата, повышать осведомленность населения о проблемах, связанных с изменением </w:t>
            </w:r>
            <w:r w:rsidRPr="00A83BA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климата и деградацией окружающей среды, и поощрять обмен знаниями для решения этих проблем в регионе.</w:t>
            </w:r>
          </w:p>
        </w:tc>
        <w:tc>
          <w:tcPr>
            <w:tcW w:w="6402" w:type="dxa"/>
            <w:tcBorders>
              <w:bottom w:val="single" w:sz="4" w:space="0" w:color="auto"/>
            </w:tcBorders>
            <w:shd w:val="clear" w:color="auto" w:fill="auto"/>
          </w:tcPr>
          <w:p w14:paraId="63281A94" w14:textId="77777777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Часть 3. Цели Фонда.</w:t>
            </w:r>
          </w:p>
          <w:p w14:paraId="0750AD11" w14:textId="77777777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3.1. Фонд ставит перед собой следующие цели:</w:t>
            </w:r>
          </w:p>
          <w:p w14:paraId="16A9F2DB" w14:textId="77777777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4CBF702B" w14:textId="7F97A9F2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7) Повышение осведомленности и развитие потенциала: развивать потенциал заинтересованных сторон в области изменения климата, повышать осведомленность населения о проблемах, связанных с изменением климата и деградацией окружающей среды, и поощрять обмен знаниями для решения этих проблем в регионе</w:t>
            </w: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;</w:t>
            </w:r>
          </w:p>
          <w:p w14:paraId="03FFBE94" w14:textId="08523C60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8) Участие в реализации национальных и региональных экологических инициатив и программ, в том числе общенациональной инициативы «Таза Қазақстан», в качестве </w:t>
            </w: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оператора (проектного офиса), исполнителя и партнера мероприятий;</w:t>
            </w:r>
          </w:p>
          <w:p w14:paraId="4FE331BB" w14:textId="7AADF866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9) Содействие внедрению принципов ESG (экологического, социального и корпоративного управления): методическая поддержка, оценка, консультирование и обучение организаций по вопросам устойчивого развития и раскрытия нефинансовой информации;</w:t>
            </w:r>
          </w:p>
          <w:p w14:paraId="5FDE293C" w14:textId="73A91E49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10) Оценка климатических и экологических рисков: оказание услуг по оценке физических и переходных рисков изменения климата и экологических рисков для государственных органов, организаций и инвесторов;</w:t>
            </w:r>
          </w:p>
          <w:p w14:paraId="07563548" w14:textId="0E8E7BC4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11) Аналитика по климатическим вопросам: проведение аналитических исследований по вопросам изменения климата, климатической политики, углеродного регулирования и зеленого финансирования, подготовка аналитических материалов, обзоров и рекомендаций;</w:t>
            </w:r>
          </w:p>
          <w:p w14:paraId="613A47F6" w14:textId="6B0B2A96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12) Образовательная деятельность: обучение, повышение квалификации и развитие потенциала </w:t>
            </w:r>
            <w:r w:rsidR="00C63F1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специалистов в области охраны окружающей среды, изменения климата, </w:t>
            </w:r>
            <w:r w:rsidR="00C63F1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устойчивого развития и ESG</w:t>
            </w: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, в том числе через Учебный центр Фонда;</w:t>
            </w:r>
          </w:p>
          <w:p w14:paraId="232BB505" w14:textId="474F1A1A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13) Экспертное сопровождение: экспертиза проектов, программ и документов в области климата и экологии, выработка экспертных заключений и рекомендаций, в том числе с участием Экспертного совета, экспертной сети и экспертного центра «Зеленый Think Tank» Фонда;</w:t>
            </w:r>
          </w:p>
          <w:p w14:paraId="6E35D110" w14:textId="33B267C4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14) Региональные климатические и экологические проекты и инициативы, в том числе организация и проведение международных, региональных и национальных саммитов, конференций, форумов и иных мероприятий по климатической и экологической повестке, сопровождение и практическая реализация принятых на них решений и инициатив;</w:t>
            </w:r>
          </w:p>
          <w:p w14:paraId="4CF58A41" w14:textId="6083B380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15) Климатическое финансирование и углеродные рынки: привлечение климатического, грантового и проектного финансирования, развитие офсетных механизмов, отбор и сопровождение офсетных проектов, мониторинг выбросов парниковых газов;</w:t>
            </w:r>
          </w:p>
          <w:p w14:paraId="79B582CA" w14:textId="46E8895D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16) Грантовая поддержка: предоставление грантов и финансирование экологических и климатических проектов;</w:t>
            </w:r>
          </w:p>
          <w:p w14:paraId="5A08312E" w14:textId="7DE46800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17) Охрана окружающей среды: содействие решению проблем управления отходами, загрязнения воздуха и водных ресурсов, деградации земель и опустынивания;</w:t>
            </w:r>
          </w:p>
          <w:p w14:paraId="2F6D403C" w14:textId="6EBFFB11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18) Цифровые решения: развитие цифровых инструментов и платформ, в том числе на основе искусственного интеллекта и геоинформационных систем, для сбора, анализа и мониторинга экологических и климатических данных;</w:t>
            </w:r>
          </w:p>
          <w:p w14:paraId="1A120582" w14:textId="30195D83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19) Вовлечение детей и молодежи: развитие программы «Зеленые школы», волонтерства и экологического просвещения;</w:t>
            </w:r>
          </w:p>
          <w:p w14:paraId="51DBD8D1" w14:textId="27E1AB98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20) Популяризация экологических инициатив: освещение инициатив, достижений и лучших практик государственных органов, бизнеса, гражданского общества и молодежи в области охраны окружающей среды и устойчивого развития.</w:t>
            </w:r>
          </w:p>
        </w:tc>
        <w:tc>
          <w:tcPr>
            <w:tcW w:w="3743" w:type="dxa"/>
            <w:tcBorders>
              <w:bottom w:val="single" w:sz="4" w:space="0" w:color="auto"/>
            </w:tcBorders>
            <w:shd w:val="clear" w:color="auto" w:fill="auto"/>
          </w:tcPr>
          <w:p w14:paraId="7A19B405" w14:textId="3446E715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Расширение направлений деятельности Фонда в соответствии со Стратегией развития на 2026–2035 годы и заключенными меморандумами о сотрудничестве: участие в инициативе «Таза Қазақстан», ESG, оценка рисков, климатическая аналитика, обучение, экспертиза, мероприятия, климатическое финансирование и офсеты, </w:t>
            </w:r>
            <w:r w:rsidRPr="00A83BA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гранты, охрана окружающей среды, цифровые решения, «Зеленые школы», популяризация экологических инициатив. Цель 14 обобщает предложенную ранее цель о Региональном Климатическом Саммите 2026 года (Специальная резолюция Учредителя № 7 от 19.02.2025 не вступила в силу)</w:t>
            </w:r>
          </w:p>
        </w:tc>
      </w:tr>
      <w:tr w:rsidR="00A83BA3" w:rsidRPr="00644BA3" w14:paraId="72E0BA3A" w14:textId="77777777" w:rsidTr="00A83BA3">
        <w:tc>
          <w:tcPr>
            <w:tcW w:w="884" w:type="dxa"/>
            <w:tcBorders>
              <w:bottom w:val="single" w:sz="4" w:space="0" w:color="auto"/>
            </w:tcBorders>
            <w:shd w:val="clear" w:color="auto" w:fill="auto"/>
          </w:tcPr>
          <w:p w14:paraId="0D6EFF47" w14:textId="1F1BE108" w:rsidR="00A83BA3" w:rsidRPr="00A83BA3" w:rsidRDefault="00A83BA3" w:rsidP="00A83BA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3531" w:type="dxa"/>
            <w:tcBorders>
              <w:bottom w:val="single" w:sz="4" w:space="0" w:color="auto"/>
            </w:tcBorders>
            <w:shd w:val="clear" w:color="auto" w:fill="auto"/>
          </w:tcPr>
          <w:p w14:paraId="7643EFB3" w14:textId="56994CEA" w:rsidR="00A83BA3" w:rsidRPr="00A83BA3" w:rsidRDefault="00011247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02" w:type="dxa"/>
            <w:tcBorders>
              <w:bottom w:val="single" w:sz="4" w:space="0" w:color="auto"/>
            </w:tcBorders>
            <w:shd w:val="clear" w:color="auto" w:fill="auto"/>
          </w:tcPr>
          <w:p w14:paraId="274FACFA" w14:textId="3D136223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3.2. Для достижения целей Фонда решением Управляющего совета в структуру Фонда включаются Учебный центр, Экспертный совет </w:t>
            </w: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и иные подразделения и консультативно-совещательные органы. Статус, задачи и порядок работы таких подразделений и органов определяются положениями, утверждаемыми Управляющим советом.</w:t>
            </w:r>
          </w:p>
        </w:tc>
        <w:tc>
          <w:tcPr>
            <w:tcW w:w="3743" w:type="dxa"/>
            <w:tcBorders>
              <w:bottom w:val="single" w:sz="4" w:space="0" w:color="auto"/>
            </w:tcBorders>
            <w:shd w:val="clear" w:color="auto" w:fill="auto"/>
          </w:tcPr>
          <w:p w14:paraId="36ABAB8B" w14:textId="494B022C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Закрепление в Уставе порядка формирования структуры Фонда; в части 3 </w:t>
            </w:r>
            <w:r w:rsidRPr="00A83BA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«Цели Фонда» пункт 3.2 отсутствует</w:t>
            </w:r>
          </w:p>
        </w:tc>
      </w:tr>
      <w:tr w:rsidR="00A83BA3" w:rsidRPr="00644BA3" w14:paraId="4C1EA75C" w14:textId="77777777" w:rsidTr="00A83BA3">
        <w:tc>
          <w:tcPr>
            <w:tcW w:w="884" w:type="dxa"/>
            <w:tcBorders>
              <w:bottom w:val="single" w:sz="4" w:space="0" w:color="auto"/>
            </w:tcBorders>
            <w:shd w:val="clear" w:color="auto" w:fill="auto"/>
          </w:tcPr>
          <w:p w14:paraId="1A28E0AF" w14:textId="5D9F37E3" w:rsidR="00A83BA3" w:rsidRPr="00A83BA3" w:rsidRDefault="00A83BA3" w:rsidP="00A83BA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3531" w:type="dxa"/>
            <w:tcBorders>
              <w:bottom w:val="single" w:sz="4" w:space="0" w:color="auto"/>
            </w:tcBorders>
            <w:shd w:val="clear" w:color="auto" w:fill="auto"/>
          </w:tcPr>
          <w:p w14:paraId="2D4065A1" w14:textId="402FF182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1.5. 4) Фонд не может осуществлять какую-либо коммерческую деятельность, за исключением необходимой, вспомогательной или сопутствующей его целям.</w:t>
            </w:r>
          </w:p>
        </w:tc>
        <w:tc>
          <w:tcPr>
            <w:tcW w:w="6402" w:type="dxa"/>
            <w:tcBorders>
              <w:bottom w:val="single" w:sz="4" w:space="0" w:color="auto"/>
            </w:tcBorders>
            <w:shd w:val="clear" w:color="auto" w:fill="auto"/>
          </w:tcPr>
          <w:p w14:paraId="1A8792FA" w14:textId="001EF70D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1.5. 4) Фонд не может осуществлять какую-либо коммерческую деятельность, за исключением необходимой, вспомогательной или сопутствующей его целям</w:t>
            </w: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. Оказание Фондом услуг в рамках целей, предусмотренных подпунктами 9)–13) пункта 3.1 части «Цели Фонда», признается деятельностью, сопутствующей целям Фонда; доходы от таких услуг направляются исключительно на достижение целей Фонда</w:t>
            </w: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743" w:type="dxa"/>
            <w:tcBorders>
              <w:bottom w:val="single" w:sz="4" w:space="0" w:color="auto"/>
            </w:tcBorders>
            <w:shd w:val="clear" w:color="auto" w:fill="auto"/>
          </w:tcPr>
          <w:p w14:paraId="5E1E5138" w14:textId="7742EA94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 xml:space="preserve">Фонд создан как благотворительный (пункт 2.2): платные услуги допускаются как сопутствующие целям, доходы </w:t>
            </w:r>
            <w:r w:rsidR="00011247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 xml:space="preserve"> только на цели Фонда (пункт 4.2)</w:t>
            </w:r>
          </w:p>
        </w:tc>
      </w:tr>
      <w:tr w:rsidR="00A83BA3" w:rsidRPr="00644BA3" w14:paraId="1F371662" w14:textId="77777777" w:rsidTr="00A83BA3">
        <w:tc>
          <w:tcPr>
            <w:tcW w:w="14560" w:type="dxa"/>
            <w:gridSpan w:val="4"/>
            <w:tcBorders>
              <w:bottom w:val="single" w:sz="4" w:space="0" w:color="auto"/>
            </w:tcBorders>
            <w:shd w:val="clear" w:color="auto" w:fill="F2F2F2"/>
          </w:tcPr>
          <w:p w14:paraId="07994D4C" w14:textId="39D82E45" w:rsidR="00A83BA3" w:rsidRPr="00A83BA3" w:rsidRDefault="00A83BA3" w:rsidP="00A83B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III. Надзор Попечительского совета</w:t>
            </w:r>
          </w:p>
        </w:tc>
      </w:tr>
      <w:tr w:rsidR="00A83BA3" w:rsidRPr="00644BA3" w14:paraId="7765C13D" w14:textId="77777777" w:rsidTr="00A83BA3">
        <w:tc>
          <w:tcPr>
            <w:tcW w:w="884" w:type="dxa"/>
            <w:tcBorders>
              <w:bottom w:val="single" w:sz="4" w:space="0" w:color="auto"/>
            </w:tcBorders>
            <w:shd w:val="clear" w:color="auto" w:fill="auto"/>
          </w:tcPr>
          <w:p w14:paraId="79A7F582" w14:textId="4582D590" w:rsidR="00A83BA3" w:rsidRPr="00A83BA3" w:rsidRDefault="00A83BA3" w:rsidP="00A83BA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531" w:type="dxa"/>
            <w:tcBorders>
              <w:bottom w:val="single" w:sz="4" w:space="0" w:color="auto"/>
            </w:tcBorders>
            <w:shd w:val="clear" w:color="auto" w:fill="auto"/>
          </w:tcPr>
          <w:p w14:paraId="3B82875E" w14:textId="4747D4FF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1.5. 1) Фонд независим в определении своих целей, политики и в своей деятельности под контролем Попечительского совета;</w:t>
            </w:r>
          </w:p>
        </w:tc>
        <w:tc>
          <w:tcPr>
            <w:tcW w:w="6402" w:type="dxa"/>
            <w:tcBorders>
              <w:bottom w:val="single" w:sz="4" w:space="0" w:color="auto"/>
            </w:tcBorders>
            <w:shd w:val="clear" w:color="auto" w:fill="auto"/>
          </w:tcPr>
          <w:p w14:paraId="199006D4" w14:textId="533774F3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 xml:space="preserve">1.5. 1) Фонд независим в определении своих целей, политики и в своей деятельности под </w:t>
            </w: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надзором</w:t>
            </w: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 xml:space="preserve"> Попечительского совета</w:t>
            </w: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, осуществляемым в порядке и пределах, установленных Положением</w:t>
            </w: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3743" w:type="dxa"/>
            <w:tcBorders>
              <w:bottom w:val="single" w:sz="4" w:space="0" w:color="auto"/>
            </w:tcBorders>
            <w:shd w:val="clear" w:color="auto" w:fill="auto"/>
          </w:tcPr>
          <w:p w14:paraId="4562B926" w14:textId="66D02F2D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 xml:space="preserve">Попечительский совет (Верховный попечитель) осуществляет надзор за Фондом, а не текущее управление: бюджет, политики и сделки с основными средствами утверждает Управляющий совет с уведомлением </w:t>
            </w:r>
            <w:r w:rsidRPr="00A83BA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Верховного попечителя (Положение, п. 3.10–3.12, 8.4, 8.7, 14.1). Регламент фондов МФЦА, п. 20(8)–(10). «Надзор» – в соответствии с английским текстом («under supervision»)</w:t>
            </w:r>
          </w:p>
        </w:tc>
      </w:tr>
      <w:tr w:rsidR="00A83BA3" w:rsidRPr="00644BA3" w14:paraId="1A09DAA3" w14:textId="77777777" w:rsidTr="00A83BA3">
        <w:tc>
          <w:tcPr>
            <w:tcW w:w="14560" w:type="dxa"/>
            <w:gridSpan w:val="4"/>
            <w:tcBorders>
              <w:bottom w:val="single" w:sz="4" w:space="0" w:color="auto"/>
            </w:tcBorders>
            <w:shd w:val="clear" w:color="auto" w:fill="F2F2F2"/>
          </w:tcPr>
          <w:p w14:paraId="0D01D30A" w14:textId="33BF8F97" w:rsidR="00A83BA3" w:rsidRPr="00A83BA3" w:rsidRDefault="00A83BA3" w:rsidP="00A83B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IV. Технические правки</w:t>
            </w:r>
          </w:p>
        </w:tc>
      </w:tr>
      <w:tr w:rsidR="00A83BA3" w:rsidRPr="00644BA3" w14:paraId="6CF15BE0" w14:textId="77777777" w:rsidTr="00A83BA3">
        <w:tc>
          <w:tcPr>
            <w:tcW w:w="884" w:type="dxa"/>
            <w:tcBorders>
              <w:bottom w:val="single" w:sz="4" w:space="0" w:color="auto"/>
            </w:tcBorders>
            <w:shd w:val="clear" w:color="auto" w:fill="auto"/>
          </w:tcPr>
          <w:p w14:paraId="0A7B4546" w14:textId="5BAEBD51" w:rsidR="00A83BA3" w:rsidRPr="00A83BA3" w:rsidRDefault="00A83BA3" w:rsidP="00A83BA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531" w:type="dxa"/>
            <w:tcBorders>
              <w:bottom w:val="single" w:sz="4" w:space="0" w:color="auto"/>
            </w:tcBorders>
            <w:shd w:val="clear" w:color="auto" w:fill="auto"/>
          </w:tcPr>
          <w:p w14:paraId="2DBB7F1A" w14:textId="77777777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Часть 3. Имущество Фонда</w:t>
            </w:r>
          </w:p>
          <w:p w14:paraId="02D9F830" w14:textId="77777777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3.1. … 3.3. …</w:t>
            </w:r>
          </w:p>
          <w:p w14:paraId="14866551" w14:textId="77777777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Часть 3. Цели Фонда</w:t>
            </w:r>
          </w:p>
          <w:p w14:paraId="5648A0FB" w14:textId="77777777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Часть 4. Источник финансирования Фонда</w:t>
            </w:r>
          </w:p>
          <w:p w14:paraId="3B547A43" w14:textId="77777777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Часть 5. Поправки и отзывы</w:t>
            </w:r>
          </w:p>
          <w:p w14:paraId="361D5623" w14:textId="32E33EA6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Часть 6. Заявление</w:t>
            </w:r>
          </w:p>
        </w:tc>
        <w:tc>
          <w:tcPr>
            <w:tcW w:w="6402" w:type="dxa"/>
            <w:tcBorders>
              <w:bottom w:val="single" w:sz="4" w:space="0" w:color="auto"/>
            </w:tcBorders>
            <w:shd w:val="clear" w:color="auto" w:fill="auto"/>
          </w:tcPr>
          <w:p w14:paraId="08A0CAA4" w14:textId="1FBE72C1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Часть 3. Имущество Фонда (пункты 3.1, 3.2)</w:t>
            </w:r>
          </w:p>
          <w:p w14:paraId="305F1CF3" w14:textId="77777777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Часть 4. Цели Фонда (пункты 4.1, 4.2)</w:t>
            </w:r>
          </w:p>
          <w:p w14:paraId="62178431" w14:textId="77777777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Часть 5. Источник финансирования Фонда</w:t>
            </w:r>
          </w:p>
          <w:p w14:paraId="4DA61682" w14:textId="77777777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Часть 6. Поправки и отзывы</w:t>
            </w:r>
          </w:p>
          <w:p w14:paraId="1E7E500A" w14:textId="118E6B7E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Часть 7. Заявление</w:t>
            </w:r>
          </w:p>
        </w:tc>
        <w:tc>
          <w:tcPr>
            <w:tcW w:w="3743" w:type="dxa"/>
            <w:tcBorders>
              <w:bottom w:val="single" w:sz="4" w:space="0" w:color="auto"/>
            </w:tcBorders>
            <w:shd w:val="clear" w:color="auto" w:fill="auto"/>
          </w:tcPr>
          <w:p w14:paraId="6ED14282" w14:textId="433C7766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Две части имеют номер 3, в части «Имущество Фонда» пропущен пункт 3.2. При подготовке новой редакции Устава нумерация частей и пунктов приводится в порядок; пункты 3.1 и 3.2 части «Цели Фонда» (позиции 2–4 настоящей таблицы) становятся пунктами 4.1 и 4.2</w:t>
            </w:r>
          </w:p>
        </w:tc>
      </w:tr>
      <w:tr w:rsidR="00A83BA3" w:rsidRPr="00644BA3" w14:paraId="2F6DE7FF" w14:textId="77777777" w:rsidTr="00A83BA3">
        <w:tc>
          <w:tcPr>
            <w:tcW w:w="884" w:type="dxa"/>
            <w:shd w:val="clear" w:color="auto" w:fill="auto"/>
          </w:tcPr>
          <w:p w14:paraId="6DAF9DFD" w14:textId="01BD5701" w:rsidR="00A83BA3" w:rsidRPr="00A83BA3" w:rsidRDefault="00A83BA3" w:rsidP="00A83BA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531" w:type="dxa"/>
            <w:shd w:val="clear" w:color="auto" w:fill="auto"/>
          </w:tcPr>
          <w:p w14:paraId="054CDE53" w14:textId="57BF77C3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Приложения 1–2: Учредитель; члены Управляющего совета (минимум 2).</w:t>
            </w:r>
          </w:p>
        </w:tc>
        <w:tc>
          <w:tcPr>
            <w:tcW w:w="6402" w:type="dxa"/>
            <w:shd w:val="clear" w:color="auto" w:fill="auto"/>
          </w:tcPr>
          <w:p w14:paraId="70F9C521" w14:textId="3C70CD50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b/>
                <w:sz w:val="28"/>
                <w:szCs w:val="28"/>
              </w:rPr>
              <w:t>Приложения 1–2 переподписываются действующим Учредителем и членами Управляющего совета.</w:t>
            </w:r>
          </w:p>
        </w:tc>
        <w:tc>
          <w:tcPr>
            <w:tcW w:w="3743" w:type="dxa"/>
            <w:shd w:val="clear" w:color="auto" w:fill="auto"/>
          </w:tcPr>
          <w:p w14:paraId="390C7EEC" w14:textId="408D3D6C" w:rsidR="00A83BA3" w:rsidRPr="00A83BA3" w:rsidRDefault="00A83BA3" w:rsidP="00A83BA3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3BA3">
              <w:rPr>
                <w:rFonts w:ascii="Times New Roman" w:hAnsi="Times New Roman" w:cs="Times New Roman"/>
                <w:sz w:val="28"/>
                <w:szCs w:val="28"/>
              </w:rPr>
              <w:t>Состав Управляющего совета изменился</w:t>
            </w:r>
          </w:p>
        </w:tc>
      </w:tr>
    </w:tbl>
    <w:p w14:paraId="73B07669" w14:textId="05904D2F" w:rsidR="00BD44A7" w:rsidRPr="00644BA3" w:rsidRDefault="00BD44A7" w:rsidP="001E2EE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D44A7" w:rsidRPr="00644BA3" w:rsidSect="00644BA3">
      <w:footerReference w:type="even" r:id="rId7"/>
      <w:footerReference w:type="default" r:id="rId8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B4AFD9" w14:textId="77777777" w:rsidR="00C44549" w:rsidRDefault="00C44549" w:rsidP="008F4B92">
      <w:pPr>
        <w:spacing w:after="0" w:line="240" w:lineRule="auto"/>
      </w:pPr>
      <w:r>
        <w:separator/>
      </w:r>
    </w:p>
  </w:endnote>
  <w:endnote w:type="continuationSeparator" w:id="0">
    <w:p w14:paraId="48A67C2D" w14:textId="77777777" w:rsidR="00C44549" w:rsidRDefault="00C44549" w:rsidP="008F4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8"/>
      </w:rPr>
      <w:id w:val="-2046444325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594BF1A7" w14:textId="77777777" w:rsidR="008F4B92" w:rsidRDefault="008F4B92" w:rsidP="008F4B92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51828A81" w14:textId="77777777" w:rsidR="008F4B92" w:rsidRDefault="008F4B92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8"/>
      </w:rPr>
      <w:id w:val="-1843469833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128595A2" w14:textId="77777777" w:rsidR="008F4B92" w:rsidRDefault="008F4B92" w:rsidP="008F4B92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 w:rsidR="00A83197">
          <w:rPr>
            <w:rStyle w:val="a8"/>
            <w:noProof/>
          </w:rPr>
          <w:t>7</w:t>
        </w:r>
        <w:r>
          <w:rPr>
            <w:rStyle w:val="a8"/>
          </w:rPr>
          <w:fldChar w:fldCharType="end"/>
        </w:r>
      </w:p>
    </w:sdtContent>
  </w:sdt>
  <w:p w14:paraId="29CA2D9D" w14:textId="77777777" w:rsidR="008F4B92" w:rsidRDefault="008F4B92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2529E2" w14:textId="77777777" w:rsidR="00C44549" w:rsidRDefault="00C44549" w:rsidP="008F4B92">
      <w:pPr>
        <w:spacing w:after="0" w:line="240" w:lineRule="auto"/>
      </w:pPr>
      <w:r>
        <w:separator/>
      </w:r>
    </w:p>
  </w:footnote>
  <w:footnote w:type="continuationSeparator" w:id="0">
    <w:p w14:paraId="5F865E11" w14:textId="77777777" w:rsidR="00C44549" w:rsidRDefault="00C44549" w:rsidP="008F4B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6606DB"/>
    <w:multiLevelType w:val="multilevel"/>
    <w:tmpl w:val="BE2AF536"/>
    <w:lvl w:ilvl="0">
      <w:start w:val="1"/>
      <w:numFmt w:val="decimal"/>
      <w:lvlText w:val="%1.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43FA1A4D"/>
    <w:multiLevelType w:val="hybridMultilevel"/>
    <w:tmpl w:val="A5F4230A"/>
    <w:lvl w:ilvl="0" w:tplc="5EF2E21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doNotDisplayPageBoundarie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F4D"/>
    <w:rsid w:val="00011247"/>
    <w:rsid w:val="0002076D"/>
    <w:rsid w:val="000624AA"/>
    <w:rsid w:val="00093413"/>
    <w:rsid w:val="000D352F"/>
    <w:rsid w:val="000D4FFA"/>
    <w:rsid w:val="000F38E2"/>
    <w:rsid w:val="00104BCA"/>
    <w:rsid w:val="00142D19"/>
    <w:rsid w:val="001475EA"/>
    <w:rsid w:val="00165B30"/>
    <w:rsid w:val="0017481D"/>
    <w:rsid w:val="00197C5D"/>
    <w:rsid w:val="001C2354"/>
    <w:rsid w:val="001C27F0"/>
    <w:rsid w:val="001D7CB3"/>
    <w:rsid w:val="001E2EE4"/>
    <w:rsid w:val="001F3FE0"/>
    <w:rsid w:val="00203321"/>
    <w:rsid w:val="002433BB"/>
    <w:rsid w:val="002C1504"/>
    <w:rsid w:val="002D450E"/>
    <w:rsid w:val="002F78B2"/>
    <w:rsid w:val="003009FC"/>
    <w:rsid w:val="00305CF9"/>
    <w:rsid w:val="0032095E"/>
    <w:rsid w:val="00365E32"/>
    <w:rsid w:val="00371A64"/>
    <w:rsid w:val="00373ACF"/>
    <w:rsid w:val="00394D2D"/>
    <w:rsid w:val="003A0643"/>
    <w:rsid w:val="003B18D0"/>
    <w:rsid w:val="003B7BA8"/>
    <w:rsid w:val="003E4097"/>
    <w:rsid w:val="003E7CB8"/>
    <w:rsid w:val="00493BAF"/>
    <w:rsid w:val="004D37CE"/>
    <w:rsid w:val="004E36D7"/>
    <w:rsid w:val="004E3D96"/>
    <w:rsid w:val="004F6811"/>
    <w:rsid w:val="005240AD"/>
    <w:rsid w:val="00536E31"/>
    <w:rsid w:val="005419E9"/>
    <w:rsid w:val="00550A98"/>
    <w:rsid w:val="00554182"/>
    <w:rsid w:val="00560ECD"/>
    <w:rsid w:val="00575BAF"/>
    <w:rsid w:val="00595AA6"/>
    <w:rsid w:val="005B7FC5"/>
    <w:rsid w:val="0061751C"/>
    <w:rsid w:val="00621389"/>
    <w:rsid w:val="00644BA3"/>
    <w:rsid w:val="00663B5A"/>
    <w:rsid w:val="00687E13"/>
    <w:rsid w:val="006A3F88"/>
    <w:rsid w:val="006C37EF"/>
    <w:rsid w:val="006D3022"/>
    <w:rsid w:val="00723681"/>
    <w:rsid w:val="00726F79"/>
    <w:rsid w:val="00742C5E"/>
    <w:rsid w:val="007457A4"/>
    <w:rsid w:val="007537A4"/>
    <w:rsid w:val="00780F9A"/>
    <w:rsid w:val="007831DB"/>
    <w:rsid w:val="00783A58"/>
    <w:rsid w:val="007C3F29"/>
    <w:rsid w:val="008046C4"/>
    <w:rsid w:val="008125DB"/>
    <w:rsid w:val="008147E6"/>
    <w:rsid w:val="00817E09"/>
    <w:rsid w:val="00835B59"/>
    <w:rsid w:val="0086688F"/>
    <w:rsid w:val="008A15AC"/>
    <w:rsid w:val="008D0245"/>
    <w:rsid w:val="008E4B80"/>
    <w:rsid w:val="008E6FCF"/>
    <w:rsid w:val="008F4B92"/>
    <w:rsid w:val="00924867"/>
    <w:rsid w:val="00954422"/>
    <w:rsid w:val="00975099"/>
    <w:rsid w:val="00990A04"/>
    <w:rsid w:val="00992487"/>
    <w:rsid w:val="009C2F4D"/>
    <w:rsid w:val="009D38F4"/>
    <w:rsid w:val="00A0390F"/>
    <w:rsid w:val="00A3247C"/>
    <w:rsid w:val="00A35E68"/>
    <w:rsid w:val="00A62BB8"/>
    <w:rsid w:val="00A63A40"/>
    <w:rsid w:val="00A729C7"/>
    <w:rsid w:val="00A83197"/>
    <w:rsid w:val="00A83BA3"/>
    <w:rsid w:val="00AA077E"/>
    <w:rsid w:val="00AA1C6D"/>
    <w:rsid w:val="00AE1544"/>
    <w:rsid w:val="00B01AEA"/>
    <w:rsid w:val="00B13223"/>
    <w:rsid w:val="00B338B2"/>
    <w:rsid w:val="00B5615B"/>
    <w:rsid w:val="00B83B64"/>
    <w:rsid w:val="00B8691D"/>
    <w:rsid w:val="00B8732A"/>
    <w:rsid w:val="00B97769"/>
    <w:rsid w:val="00BD281A"/>
    <w:rsid w:val="00BD44A7"/>
    <w:rsid w:val="00BF6DBA"/>
    <w:rsid w:val="00C13E78"/>
    <w:rsid w:val="00C42DB1"/>
    <w:rsid w:val="00C44549"/>
    <w:rsid w:val="00C51300"/>
    <w:rsid w:val="00C51E06"/>
    <w:rsid w:val="00C61560"/>
    <w:rsid w:val="00C63F13"/>
    <w:rsid w:val="00C752B1"/>
    <w:rsid w:val="00CB631F"/>
    <w:rsid w:val="00CB6F0E"/>
    <w:rsid w:val="00CC5323"/>
    <w:rsid w:val="00D046A6"/>
    <w:rsid w:val="00D119C1"/>
    <w:rsid w:val="00D31DF9"/>
    <w:rsid w:val="00D34AC7"/>
    <w:rsid w:val="00D4234C"/>
    <w:rsid w:val="00D46338"/>
    <w:rsid w:val="00D66DAE"/>
    <w:rsid w:val="00D7549C"/>
    <w:rsid w:val="00D869A2"/>
    <w:rsid w:val="00DC0F5C"/>
    <w:rsid w:val="00DC23CF"/>
    <w:rsid w:val="00DD0E7E"/>
    <w:rsid w:val="00DE5CBD"/>
    <w:rsid w:val="00DE787A"/>
    <w:rsid w:val="00DF1E42"/>
    <w:rsid w:val="00E00211"/>
    <w:rsid w:val="00E16C66"/>
    <w:rsid w:val="00E2343D"/>
    <w:rsid w:val="00E35B61"/>
    <w:rsid w:val="00E41C79"/>
    <w:rsid w:val="00E47BC0"/>
    <w:rsid w:val="00E50E7B"/>
    <w:rsid w:val="00E825DE"/>
    <w:rsid w:val="00E84B08"/>
    <w:rsid w:val="00E92728"/>
    <w:rsid w:val="00E95ED6"/>
    <w:rsid w:val="00EA752C"/>
    <w:rsid w:val="00EB366A"/>
    <w:rsid w:val="00EB3B90"/>
    <w:rsid w:val="00EC19AF"/>
    <w:rsid w:val="00EF4477"/>
    <w:rsid w:val="00EF5FC1"/>
    <w:rsid w:val="00F06CA0"/>
    <w:rsid w:val="00F134F4"/>
    <w:rsid w:val="00F2626B"/>
    <w:rsid w:val="00F31DD2"/>
    <w:rsid w:val="00F36D6F"/>
    <w:rsid w:val="00F645BB"/>
    <w:rsid w:val="00F70E48"/>
    <w:rsid w:val="00F8392B"/>
    <w:rsid w:val="00F85CA3"/>
    <w:rsid w:val="00FA1117"/>
    <w:rsid w:val="00FC08FA"/>
    <w:rsid w:val="00FD11BF"/>
    <w:rsid w:val="00FF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CEE6BD"/>
  <w15:chartTrackingRefBased/>
  <w15:docId w15:val="{58FA6596-96A5-4189-B71E-11F169607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24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0F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C0F5C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EF4477"/>
    <w:pPr>
      <w:ind w:left="720"/>
      <w:contextualSpacing/>
    </w:pPr>
  </w:style>
  <w:style w:type="character" w:customStyle="1" w:styleId="selectable-text">
    <w:name w:val="selectable-text"/>
    <w:basedOn w:val="a0"/>
    <w:rsid w:val="002F78B2"/>
  </w:style>
  <w:style w:type="paragraph" w:styleId="a6">
    <w:name w:val="footer"/>
    <w:basedOn w:val="a"/>
    <w:link w:val="a7"/>
    <w:uiPriority w:val="99"/>
    <w:unhideWhenUsed/>
    <w:rsid w:val="008F4B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F4B92"/>
  </w:style>
  <w:style w:type="character" w:styleId="a8">
    <w:name w:val="page number"/>
    <w:basedOn w:val="a0"/>
    <w:uiPriority w:val="99"/>
    <w:semiHidden/>
    <w:unhideWhenUsed/>
    <w:rsid w:val="008F4B92"/>
  </w:style>
  <w:style w:type="character" w:styleId="a9">
    <w:name w:val="annotation reference"/>
    <w:basedOn w:val="a0"/>
    <w:uiPriority w:val="99"/>
    <w:semiHidden/>
    <w:unhideWhenUsed/>
    <w:rsid w:val="00687E13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687E13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687E13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87E1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687E13"/>
    <w:rPr>
      <w:b/>
      <w:bCs/>
      <w:sz w:val="20"/>
      <w:szCs w:val="20"/>
    </w:rPr>
  </w:style>
  <w:style w:type="table" w:styleId="ae">
    <w:name w:val="Table Grid"/>
    <w:basedOn w:val="a1"/>
    <w:uiPriority w:val="39"/>
    <w:rsid w:val="00644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1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2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9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6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3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0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4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0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4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8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0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3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1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8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2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9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2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3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2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1068</Words>
  <Characters>7407</Characters>
  <Application>Microsoft Office Word</Application>
  <DocSecurity>0</DocSecurity>
  <Lines>305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CACF</Company>
  <LinksUpToDate>false</LinksUpToDate>
  <CharactersWithSpaces>8401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Рамазан Кумарбекович</dc:creator>
  <cp:keywords/>
  <dc:description/>
  <cp:lastModifiedBy>Учетная запись Майкрософт</cp:lastModifiedBy>
  <cp:revision>8</cp:revision>
  <cp:lastPrinted>2024-03-05T10:14:00Z</cp:lastPrinted>
  <dcterms:created xsi:type="dcterms:W3CDTF">2025-06-20T05:27:00Z</dcterms:created>
  <dcterms:modified xsi:type="dcterms:W3CDTF">2026-10-14T08:28:00Z</dcterms:modified>
</cp:coreProperties>
</file>