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BFF3BBA" w14:textId="77777777" w:rsidR="009021A1" w:rsidRPr="009021A1" w:rsidRDefault="009021A1" w:rsidP="009021A1">
      <w:pPr>
        <w:spacing w:after="0" w:line="240" w:lineRule="auto"/>
        <w:jc w:val="right"/>
        <w:rPr>
          <w:rFonts w:ascii="Times New Roman" w:hAnsi="Times New Roman" w:cs="Times New Roman"/>
          <w:b/>
          <w:sz w:val="24"/>
          <w:szCs w:val="24"/>
          <w:lang w:val="en-GB"/>
        </w:rPr>
      </w:pPr>
      <w:bookmarkStart w:id="0" w:name="_GoBack"/>
      <w:bookmarkEnd w:id="0"/>
      <w:r w:rsidRPr="009021A1">
        <w:rPr>
          <w:rFonts w:ascii="Times New Roman" w:hAnsi="Times New Roman" w:cs="Times New Roman"/>
          <w:b/>
          <w:sz w:val="24"/>
          <w:szCs w:val="24"/>
          <w:lang w:val="en-GB"/>
        </w:rPr>
        <w:t>DRAFT</w:t>
      </w:r>
    </w:p>
    <w:p w14:paraId="219769BC" w14:textId="77777777" w:rsidR="009021A1" w:rsidRPr="009021A1" w:rsidRDefault="009021A1" w:rsidP="009021A1">
      <w:pPr>
        <w:spacing w:after="0" w:line="240" w:lineRule="auto"/>
        <w:jc w:val="right"/>
        <w:rPr>
          <w:rFonts w:ascii="Times New Roman" w:hAnsi="Times New Roman" w:cs="Times New Roman"/>
          <w:sz w:val="24"/>
          <w:szCs w:val="24"/>
          <w:lang w:val="en-GB"/>
        </w:rPr>
      </w:pPr>
    </w:p>
    <w:p w14:paraId="0C91CE6E" w14:textId="77777777" w:rsidR="009021A1" w:rsidRPr="009021A1" w:rsidRDefault="009021A1" w:rsidP="009021A1">
      <w:pPr>
        <w:spacing w:after="0" w:line="240" w:lineRule="auto"/>
        <w:jc w:val="right"/>
        <w:rPr>
          <w:rFonts w:ascii="Times New Roman" w:hAnsi="Times New Roman" w:cs="Times New Roman"/>
          <w:sz w:val="24"/>
          <w:szCs w:val="24"/>
          <w:lang w:val="en-GB"/>
        </w:rPr>
      </w:pPr>
      <w:r w:rsidRPr="009021A1">
        <w:rPr>
          <w:rFonts w:ascii="Times New Roman" w:hAnsi="Times New Roman" w:cs="Times New Roman"/>
          <w:sz w:val="24"/>
          <w:szCs w:val="24"/>
          <w:lang w:val="en-GB"/>
        </w:rPr>
        <w:t>APPROVED</w:t>
      </w:r>
    </w:p>
    <w:p w14:paraId="7DEF3A9E" w14:textId="77777777" w:rsidR="009021A1" w:rsidRPr="009021A1" w:rsidRDefault="009021A1" w:rsidP="009021A1">
      <w:pPr>
        <w:spacing w:after="0" w:line="240" w:lineRule="auto"/>
        <w:jc w:val="right"/>
        <w:rPr>
          <w:rFonts w:ascii="Times New Roman" w:hAnsi="Times New Roman" w:cs="Times New Roman"/>
          <w:sz w:val="24"/>
          <w:szCs w:val="24"/>
          <w:lang w:val="en-GB"/>
        </w:rPr>
      </w:pPr>
      <w:r w:rsidRPr="009021A1">
        <w:rPr>
          <w:rFonts w:ascii="Times New Roman" w:hAnsi="Times New Roman" w:cs="Times New Roman"/>
          <w:sz w:val="24"/>
          <w:szCs w:val="24"/>
          <w:lang w:val="en-GB"/>
        </w:rPr>
        <w:t>by decision of the Management Council</w:t>
      </w:r>
    </w:p>
    <w:p w14:paraId="2BDCDEF0" w14:textId="77777777" w:rsidR="009021A1" w:rsidRPr="009021A1" w:rsidRDefault="009021A1" w:rsidP="009021A1">
      <w:pPr>
        <w:spacing w:after="0" w:line="240" w:lineRule="auto"/>
        <w:jc w:val="right"/>
        <w:rPr>
          <w:rFonts w:ascii="Times New Roman" w:hAnsi="Times New Roman" w:cs="Times New Roman"/>
          <w:sz w:val="24"/>
          <w:szCs w:val="24"/>
          <w:lang w:val="en-GB"/>
        </w:rPr>
      </w:pPr>
      <w:r w:rsidRPr="009021A1">
        <w:rPr>
          <w:rFonts w:ascii="Times New Roman" w:hAnsi="Times New Roman" w:cs="Times New Roman"/>
          <w:sz w:val="24"/>
          <w:szCs w:val="24"/>
          <w:lang w:val="en-GB"/>
        </w:rPr>
        <w:t>of the Central Asia Climate Foundation</w:t>
      </w:r>
    </w:p>
    <w:p w14:paraId="5B17D09F" w14:textId="77777777" w:rsidR="009021A1" w:rsidRPr="009021A1" w:rsidRDefault="009021A1" w:rsidP="009021A1">
      <w:pPr>
        <w:spacing w:after="0" w:line="240" w:lineRule="auto"/>
        <w:jc w:val="right"/>
        <w:rPr>
          <w:rFonts w:ascii="Times New Roman" w:hAnsi="Times New Roman" w:cs="Times New Roman"/>
          <w:sz w:val="24"/>
          <w:szCs w:val="24"/>
          <w:lang w:val="en-GB"/>
        </w:rPr>
      </w:pPr>
      <w:r w:rsidRPr="009021A1">
        <w:rPr>
          <w:rFonts w:ascii="Times New Roman" w:hAnsi="Times New Roman" w:cs="Times New Roman"/>
          <w:sz w:val="24"/>
          <w:szCs w:val="24"/>
          <w:lang w:val="en-GB"/>
        </w:rPr>
        <w:t>(Minutes No. ___ dated «___» __________ 2026)</w:t>
      </w:r>
    </w:p>
    <w:p w14:paraId="35E25209" w14:textId="77777777" w:rsidR="009021A1" w:rsidRPr="009021A1" w:rsidRDefault="009021A1" w:rsidP="009021A1">
      <w:pPr>
        <w:spacing w:after="0" w:line="240" w:lineRule="auto"/>
        <w:jc w:val="right"/>
        <w:rPr>
          <w:rFonts w:ascii="Times New Roman" w:hAnsi="Times New Roman" w:cs="Times New Roman"/>
          <w:sz w:val="24"/>
          <w:szCs w:val="24"/>
          <w:lang w:val="en-GB"/>
        </w:rPr>
      </w:pPr>
    </w:p>
    <w:p w14:paraId="1F74FC6C" w14:textId="77777777" w:rsidR="009021A1" w:rsidRPr="009021A1" w:rsidRDefault="009021A1" w:rsidP="009021A1">
      <w:pPr>
        <w:spacing w:before="240" w:after="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REGULATIONS</w:t>
      </w:r>
    </w:p>
    <w:p w14:paraId="5514D6E6" w14:textId="77777777" w:rsidR="009021A1" w:rsidRPr="009021A1" w:rsidRDefault="009021A1" w:rsidP="009021A1">
      <w:pPr>
        <w:spacing w:after="24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on the Expert Council</w:t>
      </w:r>
    </w:p>
    <w:p w14:paraId="5A87090B" w14:textId="77777777" w:rsidR="009021A1" w:rsidRPr="009021A1" w:rsidRDefault="009021A1" w:rsidP="009021A1">
      <w:pPr>
        <w:keepNext/>
        <w:spacing w:before="240" w:after="12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1. General Provisions</w:t>
      </w:r>
    </w:p>
    <w:p w14:paraId="621C935B"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1.1. The Expert Council is a permanent consultative and advisory body of the Private Foundation «Central Asia Climate Foundation» (hereinafter – the Foundation) composed of leading national and foreign experts for the review of projects, programmes and analytical materials of the Foundation.</w:t>
      </w:r>
    </w:p>
    <w:p w14:paraId="5A1BFF92"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1.2. The Expert Council is included in the structure of the Foundation by decision of the Management Council of the Foundation (Minutes No. 12 dated 30 July 2026). The Expert Council forms the basis of the expert network of the Foundation and of the «Green Think Tank» expert centre provided for by the Development Strategy of the Foundation for 2026–2035.</w:t>
      </w:r>
    </w:p>
    <w:p w14:paraId="4D2FF52F"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1.3. Decisions of the Expert Council are advisory.</w:t>
      </w:r>
    </w:p>
    <w:p w14:paraId="14E12B2A"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1.4. In its activities the Expert Council is guided by the AIFC Foundations Regulations and other acts of the Astana International Financial Centre, the legislation of the Republic of Kazakhstan to the extent applicable to the activities of the Foundation, the Charter and By-laws of the Foundation, internal documents of the Foundation, decisions of the Management Council, orders of the Chief Executive Officer of the Foundation and these Regulations.</w:t>
      </w:r>
    </w:p>
    <w:p w14:paraId="7A8EF87B" w14:textId="77777777" w:rsidR="009021A1" w:rsidRPr="009021A1" w:rsidRDefault="009021A1" w:rsidP="009021A1">
      <w:pPr>
        <w:keepNext/>
        <w:spacing w:before="240" w:after="12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2. Tasks and Functions</w:t>
      </w:r>
    </w:p>
    <w:p w14:paraId="6F07470E"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2.1. The tasks of the Expert Council are:</w:t>
      </w:r>
    </w:p>
    <w:p w14:paraId="2FBCBB77"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1) review of projects, programmes, methodologies and analytical materials of the Foundation;</w:t>
      </w:r>
    </w:p>
    <w:p w14:paraId="3CCC63FF"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2) preparation of expert opinions and recommendations on environmental protection, climate change, sustainable development, green energy and ESG;</w:t>
      </w:r>
    </w:p>
    <w:p w14:paraId="50209D0E"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3) expert support of national and regional initiatives implemented with the participation of the Foundation, including the «Taza Qazaqstan» initiative and the decisions of the Regional Environmental Summit;</w:t>
      </w:r>
    </w:p>
    <w:p w14:paraId="4BC31A17"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4) recommendations on the development strategy of the Foundation and the priority areas of its activities;</w:t>
      </w:r>
    </w:p>
    <w:p w14:paraId="4AC2B224"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5) building an expert network of Central Asia.</w:t>
      </w:r>
    </w:p>
    <w:p w14:paraId="52A9E55C" w14:textId="7A1CE018" w:rsidR="009021A1" w:rsidRPr="009021A1" w:rsidRDefault="00C801C8" w:rsidP="009021A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2.2. The Expert Council considers matters on the instruction of the Chief Executive Officer of the Foundation or on the proposal of members of the Expert Council.</w:t>
      </w:r>
    </w:p>
    <w:p w14:paraId="1AB365C3" w14:textId="77777777" w:rsidR="009021A1" w:rsidRPr="009021A1" w:rsidRDefault="009021A1" w:rsidP="009021A1">
      <w:pPr>
        <w:keepNext/>
        <w:spacing w:before="240" w:after="12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3. Composition</w:t>
      </w:r>
    </w:p>
    <w:p w14:paraId="7DA35660"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3.1. The Expert Council consists of the chairperson, the deputy chairperson and members of the Expert Council. The number of members is at least seven.</w:t>
      </w:r>
    </w:p>
    <w:p w14:paraId="1215FD56"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3.2. Members of the Expert Council may be scientists, specialists and practitioners with recognised qualifications in the areas of activity of the Foundation, including representatives of international organisations, universities and research organisations of the countries of Central Asia and other states.</w:t>
      </w:r>
    </w:p>
    <w:p w14:paraId="25ADB246"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lastRenderedPageBreak/>
        <w:t>3.3. The members of the Expert Council, the chairperson and the deputy chairperson are approved by order of the Chief Executive Officer of the Foundation for a term of two years. The Management Council is informed of the approved composition.</w:t>
      </w:r>
    </w:p>
    <w:p w14:paraId="6A282701"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3.4. Members of the Expert Council participate in its work free of charge. The preparation of individual expert opinions may be paid for under a contract within the budget of the Foundation.</w:t>
      </w:r>
    </w:p>
    <w:p w14:paraId="37173185"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3.5. The powers of a member of the Expert Council terminate upon his/her application, upon expiry of the term or by order of the Chief Executive Officer of the Foundation.</w:t>
      </w:r>
    </w:p>
    <w:p w14:paraId="41EE7E23" w14:textId="77777777" w:rsidR="009021A1" w:rsidRPr="009021A1" w:rsidRDefault="009021A1" w:rsidP="009021A1">
      <w:pPr>
        <w:keepNext/>
        <w:spacing w:before="240" w:after="12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4. Procedure of Work</w:t>
      </w:r>
    </w:p>
    <w:p w14:paraId="77FF111A"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4.1. Meetings of the Expert Council are held as necessary, but at least twice a year. Meetings may be held in person, by videoconference or by absentee voting.</w:t>
      </w:r>
    </w:p>
    <w:p w14:paraId="6A5CE993"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4.2. A meeting is quorate if at least half of the members of the Expert Council participate. Recommendations are adopted by a majority of votes of the participating members; in the event of a tie, the chairperson of the meeting has the casting vote.</w:t>
      </w:r>
    </w:p>
    <w:p w14:paraId="3C7AE109"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4.3. Decisions of the Expert Council are recorded in minutes signed by the chairperson of the meeting and the secretary and are sent to the Chief Executive Officer of the Foundation.</w:t>
      </w:r>
    </w:p>
    <w:p w14:paraId="53020F27"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4.4. A member of the Expert Council who has a personal interest in a matter under consideration must declare it and does not vote on that matter.</w:t>
      </w:r>
    </w:p>
    <w:p w14:paraId="1CC8EED0"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4.5. Members of the Expert Council must not disclose confidential information that has become known to them in connection with their work in the Expert Council.</w:t>
      </w:r>
    </w:p>
    <w:p w14:paraId="001877BE" w14:textId="77777777" w:rsidR="009021A1" w:rsidRPr="009021A1" w:rsidRDefault="009021A1" w:rsidP="009021A1">
      <w:pPr>
        <w:keepNext/>
        <w:spacing w:before="240" w:after="12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5. Supervision and Support of Activities</w:t>
      </w:r>
    </w:p>
    <w:p w14:paraId="2E8B7A01" w14:textId="39B93D23" w:rsidR="009021A1" w:rsidRPr="009021A1" w:rsidRDefault="00C801C8" w:rsidP="009021A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5.1. The activities of the Expert Council are supervised by the Chief Executive Officer of the Foundation.</w:t>
      </w:r>
    </w:p>
    <w:p w14:paraId="14804D41"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5.2. Organisational support of the activities of the Expert Council (secretariat) is provided by the Project Office for Central Asia on Climate Change and Green Energy. The secretary of the Expert Council is appointed by order of the Chief Executive Officer of the Foundation from among the employees of the Foundation.</w:t>
      </w:r>
    </w:p>
    <w:p w14:paraId="0B7EA6F0"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5.3. Expenses for supporting the activities of the Expert Council are made within the budget of the Foundation.</w:t>
      </w:r>
    </w:p>
    <w:p w14:paraId="767448E4" w14:textId="77777777" w:rsidR="009021A1" w:rsidRPr="009021A1" w:rsidRDefault="009021A1" w:rsidP="009021A1">
      <w:pPr>
        <w:keepNext/>
        <w:spacing w:before="240" w:after="12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6. Final Provisions</w:t>
      </w:r>
    </w:p>
    <w:p w14:paraId="0A91D37D"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6.1. These Regulations and amendments and additions thereto are approved by the Management Council of the Foundation.</w:t>
      </w:r>
    </w:p>
    <w:p w14:paraId="1473D093" w14:textId="176B1FB4" w:rsidR="00657A6D" w:rsidRPr="009021A1" w:rsidRDefault="009021A1" w:rsidP="009021A1">
      <w:pPr>
        <w:spacing w:after="0" w:line="240" w:lineRule="auto"/>
        <w:ind w:firstLine="708"/>
        <w:jc w:val="both"/>
        <w:rPr>
          <w:rFonts w:ascii="Times New Roman" w:hAnsi="Times New Roman" w:cs="Times New Roman"/>
          <w:sz w:val="24"/>
          <w:lang w:val="en-GB"/>
        </w:rPr>
      </w:pPr>
      <w:r w:rsidRPr="009021A1">
        <w:rPr>
          <w:rFonts w:ascii="Times New Roman" w:hAnsi="Times New Roman" w:cs="Times New Roman"/>
          <w:sz w:val="24"/>
          <w:szCs w:val="24"/>
          <w:lang w:val="en-GB"/>
        </w:rPr>
        <w:t>6.2. The Expert Council is abolished by decision of the Management Council of the Foundation.</w:t>
      </w:r>
    </w:p>
    <w:sectPr w:rsidR="00657A6D" w:rsidRPr="009021A1" w:rsidSect="009021A1">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E8229D" w14:textId="77777777" w:rsidR="009021A1" w:rsidRDefault="009021A1" w:rsidP="00D23415">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23E4598A" w14:textId="77777777" w:rsidR="009021A1" w:rsidRDefault="009021A1">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48485C0" w14:textId="77777777" w:rsidR="009021A1" w:rsidRDefault="009021A1" w:rsidP="00D23415">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C801C8">
      <w:rPr>
        <w:rStyle w:val="ab"/>
        <w:noProof/>
      </w:rPr>
      <w:t>2</w:t>
    </w:r>
    <w:r>
      <w:rPr>
        <w:rStyle w:val="ab"/>
      </w:rPr>
      <w:fldChar w:fldCharType="end"/>
    </w:r>
  </w:p>
  <w:p w14:paraId="19F07F13" w14:textId="77777777" w:rsidR="009021A1" w:rsidRDefault="009021A1">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C826C7" w14:textId="77777777" w:rsidR="009021A1" w:rsidRDefault="009021A1">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7682C7" w14:textId="77777777" w:rsidR="009021A1" w:rsidRDefault="009021A1">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BDB770" w14:textId="77777777" w:rsidR="009021A1" w:rsidRDefault="009021A1">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7909E6" w14:textId="77777777" w:rsidR="009021A1" w:rsidRDefault="009021A1">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C3244"/>
    <w:rsid w:val="002379D7"/>
    <w:rsid w:val="00237BF1"/>
    <w:rsid w:val="002A29EF"/>
    <w:rsid w:val="002C16B0"/>
    <w:rsid w:val="002D7F81"/>
    <w:rsid w:val="002E4ED6"/>
    <w:rsid w:val="00300E96"/>
    <w:rsid w:val="003717BA"/>
    <w:rsid w:val="00377609"/>
    <w:rsid w:val="003A2F44"/>
    <w:rsid w:val="003C6D97"/>
    <w:rsid w:val="0043450D"/>
    <w:rsid w:val="00443939"/>
    <w:rsid w:val="00497EE1"/>
    <w:rsid w:val="004A12F2"/>
    <w:rsid w:val="004D40F8"/>
    <w:rsid w:val="004E1A2A"/>
    <w:rsid w:val="0050306E"/>
    <w:rsid w:val="0052211B"/>
    <w:rsid w:val="0053003B"/>
    <w:rsid w:val="0057530C"/>
    <w:rsid w:val="00597588"/>
    <w:rsid w:val="006056A4"/>
    <w:rsid w:val="0064591D"/>
    <w:rsid w:val="006549D0"/>
    <w:rsid w:val="00657A6D"/>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21A1"/>
    <w:rsid w:val="00906B7C"/>
    <w:rsid w:val="0095069A"/>
    <w:rsid w:val="00956A4B"/>
    <w:rsid w:val="009D6A80"/>
    <w:rsid w:val="009F09DB"/>
    <w:rsid w:val="009F19B6"/>
    <w:rsid w:val="009F1CD8"/>
    <w:rsid w:val="00A021B6"/>
    <w:rsid w:val="00A26175"/>
    <w:rsid w:val="00A47179"/>
    <w:rsid w:val="00AB72E4"/>
    <w:rsid w:val="00AE09EF"/>
    <w:rsid w:val="00B81B6F"/>
    <w:rsid w:val="00BB15DA"/>
    <w:rsid w:val="00BC6766"/>
    <w:rsid w:val="00BF704F"/>
    <w:rsid w:val="00C07369"/>
    <w:rsid w:val="00C40A05"/>
    <w:rsid w:val="00C6405E"/>
    <w:rsid w:val="00C801C8"/>
    <w:rsid w:val="00C90711"/>
    <w:rsid w:val="00CA283F"/>
    <w:rsid w:val="00CA3F36"/>
    <w:rsid w:val="00D33A6A"/>
    <w:rsid w:val="00D52FEE"/>
    <w:rsid w:val="00DA30BF"/>
    <w:rsid w:val="00DB09E5"/>
    <w:rsid w:val="00DB7E48"/>
    <w:rsid w:val="00DE5219"/>
    <w:rsid w:val="00E01810"/>
    <w:rsid w:val="00E05E21"/>
    <w:rsid w:val="00E53A93"/>
    <w:rsid w:val="00E71E09"/>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 w:type="character" w:styleId="ab">
    <w:name w:val="page number"/>
    <w:basedOn w:val="a0"/>
    <w:uiPriority w:val="99"/>
    <w:semiHidden/>
    <w:unhideWhenUsed/>
    <w:rsid w:val="009021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2</Pages>
  <Words>766</Words>
  <Characters>4227</Characters>
  <Application>Microsoft Office Word</Application>
  <DocSecurity>0</DocSecurity>
  <Lines>78</Lines>
  <Paragraphs>44</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4949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50</cp:revision>
  <cp:lastPrinted>2026-09-28T12:28:00Z</cp:lastPrinted>
  <dcterms:created xsi:type="dcterms:W3CDTF">2024-04-22T06:36:00Z</dcterms:created>
  <dcterms:modified xsi:type="dcterms:W3CDTF">2026-10-23T08:16:00Z</dcterms:modified>
</cp:coreProperties>
</file>