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17941E" w14:textId="77777777" w:rsidR="00A9457F" w:rsidRPr="00A9457F" w:rsidRDefault="00A9457F" w:rsidP="00A9457F">
      <w:pPr>
        <w:spacing w:after="0" w:line="240" w:lineRule="auto"/>
        <w:jc w:val="right"/>
        <w:rPr>
          <w:rFonts w:ascii="Times New Roman" w:hAnsi="Times New Roman" w:cs="Times New Roman"/>
          <w:b/>
          <w:sz w:val="24"/>
          <w:szCs w:val="24"/>
          <w:lang w:val="en-GB"/>
        </w:rPr>
      </w:pPr>
      <w:bookmarkStart w:id="0" w:name="_GoBack"/>
      <w:bookmarkEnd w:id="0"/>
      <w:r w:rsidRPr="00A9457F">
        <w:rPr>
          <w:rFonts w:ascii="Times New Roman" w:hAnsi="Times New Roman" w:cs="Times New Roman"/>
          <w:b/>
          <w:sz w:val="24"/>
          <w:szCs w:val="24"/>
          <w:lang w:val="en-GB"/>
        </w:rPr>
        <w:t>DRAFT</w:t>
      </w:r>
    </w:p>
    <w:p w14:paraId="098D1005" w14:textId="77777777" w:rsidR="00A9457F" w:rsidRPr="00A9457F" w:rsidRDefault="00A9457F" w:rsidP="00A9457F">
      <w:pPr>
        <w:spacing w:after="0" w:line="240" w:lineRule="auto"/>
        <w:jc w:val="right"/>
        <w:rPr>
          <w:rFonts w:ascii="Times New Roman" w:hAnsi="Times New Roman" w:cs="Times New Roman"/>
          <w:sz w:val="24"/>
          <w:szCs w:val="24"/>
          <w:lang w:val="en-GB"/>
        </w:rPr>
      </w:pPr>
    </w:p>
    <w:p w14:paraId="0461B19E" w14:textId="77777777" w:rsidR="00A9457F" w:rsidRPr="00A9457F" w:rsidRDefault="00A9457F" w:rsidP="00A9457F">
      <w:pPr>
        <w:spacing w:after="0" w:line="240" w:lineRule="auto"/>
        <w:jc w:val="right"/>
        <w:rPr>
          <w:rFonts w:ascii="Times New Roman" w:hAnsi="Times New Roman" w:cs="Times New Roman"/>
          <w:sz w:val="24"/>
          <w:szCs w:val="24"/>
          <w:lang w:val="en-GB"/>
        </w:rPr>
      </w:pPr>
      <w:r w:rsidRPr="00A9457F">
        <w:rPr>
          <w:rFonts w:ascii="Times New Roman" w:hAnsi="Times New Roman" w:cs="Times New Roman"/>
          <w:sz w:val="24"/>
          <w:szCs w:val="24"/>
          <w:lang w:val="en-GB"/>
        </w:rPr>
        <w:t>APPROVED</w:t>
      </w:r>
    </w:p>
    <w:p w14:paraId="7DBB53E5" w14:textId="77777777" w:rsidR="00A9457F" w:rsidRPr="00A9457F" w:rsidRDefault="00A9457F" w:rsidP="00A9457F">
      <w:pPr>
        <w:spacing w:after="0" w:line="240" w:lineRule="auto"/>
        <w:jc w:val="right"/>
        <w:rPr>
          <w:rFonts w:ascii="Times New Roman" w:hAnsi="Times New Roman" w:cs="Times New Roman"/>
          <w:sz w:val="24"/>
          <w:szCs w:val="24"/>
          <w:lang w:val="en-GB"/>
        </w:rPr>
      </w:pPr>
      <w:r w:rsidRPr="00A9457F">
        <w:rPr>
          <w:rFonts w:ascii="Times New Roman" w:hAnsi="Times New Roman" w:cs="Times New Roman"/>
          <w:sz w:val="24"/>
          <w:szCs w:val="24"/>
          <w:lang w:val="en-GB"/>
        </w:rPr>
        <w:t>by decision of the Management Council</w:t>
      </w:r>
    </w:p>
    <w:p w14:paraId="73F25DBF" w14:textId="77777777" w:rsidR="00A9457F" w:rsidRPr="00A9457F" w:rsidRDefault="00A9457F" w:rsidP="00A9457F">
      <w:pPr>
        <w:spacing w:after="0" w:line="240" w:lineRule="auto"/>
        <w:jc w:val="right"/>
        <w:rPr>
          <w:rFonts w:ascii="Times New Roman" w:hAnsi="Times New Roman" w:cs="Times New Roman"/>
          <w:sz w:val="24"/>
          <w:szCs w:val="24"/>
          <w:lang w:val="en-GB"/>
        </w:rPr>
      </w:pPr>
      <w:r w:rsidRPr="00A9457F">
        <w:rPr>
          <w:rFonts w:ascii="Times New Roman" w:hAnsi="Times New Roman" w:cs="Times New Roman"/>
          <w:sz w:val="24"/>
          <w:szCs w:val="24"/>
          <w:lang w:val="en-GB"/>
        </w:rPr>
        <w:t>of the Central Asia Climate Foundation</w:t>
      </w:r>
    </w:p>
    <w:p w14:paraId="00F2E4A4" w14:textId="77777777" w:rsidR="00A9457F" w:rsidRPr="00A9457F" w:rsidRDefault="00A9457F" w:rsidP="00A9457F">
      <w:pPr>
        <w:spacing w:after="0" w:line="240" w:lineRule="auto"/>
        <w:jc w:val="right"/>
        <w:rPr>
          <w:rFonts w:ascii="Times New Roman" w:hAnsi="Times New Roman" w:cs="Times New Roman"/>
          <w:sz w:val="24"/>
          <w:szCs w:val="24"/>
          <w:lang w:val="en-GB"/>
        </w:rPr>
      </w:pPr>
      <w:r w:rsidRPr="00A9457F">
        <w:rPr>
          <w:rFonts w:ascii="Times New Roman" w:hAnsi="Times New Roman" w:cs="Times New Roman"/>
          <w:sz w:val="24"/>
          <w:szCs w:val="24"/>
          <w:lang w:val="en-GB"/>
        </w:rPr>
        <w:t>(Minutes No. ___ dated «___» __________ 2026)</w:t>
      </w:r>
    </w:p>
    <w:p w14:paraId="2B01F2B8" w14:textId="77777777" w:rsidR="00A9457F" w:rsidRPr="00A9457F" w:rsidRDefault="00A9457F" w:rsidP="00A9457F">
      <w:pPr>
        <w:spacing w:after="0" w:line="240" w:lineRule="auto"/>
        <w:jc w:val="right"/>
        <w:rPr>
          <w:rFonts w:ascii="Times New Roman" w:hAnsi="Times New Roman" w:cs="Times New Roman"/>
          <w:sz w:val="24"/>
          <w:szCs w:val="24"/>
          <w:lang w:val="en-GB"/>
        </w:rPr>
      </w:pPr>
    </w:p>
    <w:p w14:paraId="3B2D60E3" w14:textId="77777777" w:rsidR="00A9457F" w:rsidRPr="00A9457F" w:rsidRDefault="00A9457F" w:rsidP="00A9457F">
      <w:pPr>
        <w:spacing w:before="240" w:after="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REGULATIONS</w:t>
      </w:r>
    </w:p>
    <w:p w14:paraId="0441F2C1" w14:textId="77777777" w:rsidR="00A9457F" w:rsidRPr="00A9457F" w:rsidRDefault="00A9457F" w:rsidP="00A9457F">
      <w:pPr>
        <w:spacing w:after="24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on the Project Office «Taza Qazaqstan»</w:t>
      </w:r>
    </w:p>
    <w:p w14:paraId="3DCE6633"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1. General Provisions</w:t>
      </w:r>
    </w:p>
    <w:p w14:paraId="02513F57"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1.1. The Project Office «Taza Qazaqstan» (hereinafter – the Project Office) is a structural unit of the Private Foundation «Central Asia Climate Foundation» (hereinafter – the Foundation) established for the institutional, project and methodological support of the nationwide initiative of the Head of State «Taza Qazaqstan» (hereinafter – the initiative).</w:t>
      </w:r>
    </w:p>
    <w:p w14:paraId="2AD254CB"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1.2. The Project Office is included in the structure of the Foundation by decision of the Management Council of the Foundation (Minutes No. 13 dated «___» October 2026) in accordance with the objects of the Foundation set out in the Charter of the Foundation, including participation in the implementation of national and regional environmental initiatives and programmes, including the «Taza Qazaqstan» initiative, as an operator (project office), implementer and partner of activities.</w:t>
      </w:r>
    </w:p>
    <w:p w14:paraId="6C47D665"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1.3. The Project Office is placed on the basis of the Foundation taking into account the proposals of the Foundation (letter No. 02/373 dated 12 October 2026) and of the Ministry of Ecology and Natural Resources of the Republic of Kazakhstan (letter No. PR-82853 dated 12 October 2026) and uses the organisational, legal and financial infrastructure of the Foundation.</w:t>
      </w:r>
    </w:p>
    <w:p w14:paraId="2CA3401B"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1.4. The Project Office is not a legal entity and has no separate balance sheet or seal. Contracts, agreements and other documents on behalf of the Foundation are signed by the Chief Executive Officer of the Foundation or by a person authorised by a power of attorney.</w:t>
      </w:r>
    </w:p>
    <w:p w14:paraId="475D483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1.5. In its activities the Project Office is guided by the AIFC Foundations Regulations and other acts of the Astana International Financial Centre, the legislation of the Republic of Kazakhstan to the extent applicable to the activities of the Foundation, the Charter and By-laws of the Foundation, internal documents of the Foundation, decisions of the Management Council, orders of the Chief Executive Officer of the Foundation and these Regulations.</w:t>
      </w:r>
    </w:p>
    <w:p w14:paraId="62383D7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1.6. Location of the Project Office: Astana.</w:t>
      </w:r>
    </w:p>
    <w:p w14:paraId="58FBD7DE"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2. Objective and Tasks</w:t>
      </w:r>
    </w:p>
    <w:p w14:paraId="30DCFFF0"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2.1. The objective of the Project Office is to build a unified system for implementing the initiative, aimed at changing the state of the public environment, everyday behavioural practices and the level of civic participation, with an assessment of actual results (the principle of «results instead of events»).</w:t>
      </w:r>
    </w:p>
    <w:p w14:paraId="17F17ED8"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2.2. The tasks of the Project Office are:</w:t>
      </w:r>
    </w:p>
    <w:p w14:paraId="44B52535"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to act as a permanent operational and methodological centre for the implementation of the initiative;</w:t>
      </w:r>
    </w:p>
    <w:p w14:paraId="47FC01BD"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project management and coordination of the implementation of the initiative with central government bodies and the akimats of 20 regions;</w:t>
      </w:r>
    </w:p>
    <w:p w14:paraId="685BCC78"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sociological research, data analysis and regular assessment of the results of the initiative on the basis of key performance indicators;</w:t>
      </w:r>
    </w:p>
    <w:p w14:paraId="7552C1D3"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development and introduction of the National Cleanliness Standard and the «Tazalyq Index»;</w:t>
      </w:r>
    </w:p>
    <w:p w14:paraId="65FC92FD"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 creation and development of the unified digital platform «Taza Qazaqstan» (TAZA.KZ);</w:t>
      </w:r>
    </w:p>
    <w:p w14:paraId="0D24B227"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lastRenderedPageBreak/>
        <w:t>6) building a unified communication environment of the initiative, expanding the mechanisms of public participation, engaging young people, volunteers, business and civil society;</w:t>
      </w:r>
    </w:p>
    <w:p w14:paraId="6C2D7C08"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7) organisational support of decisions taken on the implementation of the initiative.</w:t>
      </w:r>
    </w:p>
    <w:p w14:paraId="10142945"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3. Areas and Projects</w:t>
      </w:r>
    </w:p>
    <w:p w14:paraId="760A2531"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3.1. Together with the Foundation, the Project Office implements areas and projects of the initiative, including:</w:t>
      </w:r>
    </w:p>
    <w:p w14:paraId="37A0185B"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«Taza El» – the National Cleanliness Standard: uniform requirements for the cleanliness of territories, classification and assessment of public spaces, the «Tazalyq Index», intelligent monitoring using artificial intelligence and geographic information systems, the «Tazalyq Belgisi» mark;</w:t>
      </w:r>
    </w:p>
    <w:p w14:paraId="257C5171"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«Zhana Madeniet» – research of attitudes and barriers, behavioural projects «Ortaq Meken», «Qaldyqsyz Qazaqstan», «Taza Alan»;</w:t>
      </w:r>
    </w:p>
    <w:p w14:paraId="00BB3B52"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«Taza Sana» – «Taza Mektep», «Taza Talqy», «Taza Oi», a youth camp, the «Qundylyq Elshisi» project;</w:t>
      </w:r>
    </w:p>
    <w:p w14:paraId="5B39F2F5"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the TAZA.KZ digital platform – a unified register of environmental initiatives and problems, an events calendar, monitoring of results, integration with TazaQazBot and state information systems;</w:t>
      </w:r>
    </w:p>
    <w:p w14:paraId="134DC9D4"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 a unified communication environment – the Tazabek image, the «Menin Taza Adetim» challenge, work with bloggers and ambassadors, documentary and music projects.</w:t>
      </w:r>
    </w:p>
    <w:p w14:paraId="3E803C7C"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3.2. The list of projects, their timing and the amount of their financing are determined by the work plan of the Project Office approved by the Chief Executive Officer of the Foundation within the approved budget of the Foundation.</w:t>
      </w:r>
    </w:p>
    <w:p w14:paraId="24365923"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4. Structure</w:t>
      </w:r>
    </w:p>
    <w:p w14:paraId="12EE118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4.1. The Project Office consists of:</w:t>
      </w:r>
    </w:p>
    <w:p w14:paraId="55CA7E4E" w14:textId="3F4E910C" w:rsidR="00A9457F" w:rsidRPr="00A9457F" w:rsidRDefault="00DD04F7" w:rsidP="00A9457F">
      <w:pPr>
        <w:spacing w:after="0" w:line="240" w:lineRule="auto"/>
        <w:ind w:firstLine="708"/>
        <w:jc w:val="both"/>
        <w:rPr>
          <w:rFonts w:ascii="Times New Roman" w:hAnsi="Times New Roman" w:cs="Times New Roman"/>
          <w:sz w:val="24"/>
          <w:szCs w:val="24"/>
          <w:lang w:val="en-GB"/>
        </w:rPr>
      </w:pPr>
      <w:r>
        <w:rPr>
          <w:rFonts w:ascii="Times New Roman" w:hAnsi="Times New Roman" w:cs="Times New Roman"/>
          <w:sz w:val="24"/>
          <w:szCs w:val="24"/>
          <w:lang w:val="en-GB"/>
        </w:rPr>
        <w:t>1) the Head of the Project Office;</w:t>
      </w:r>
    </w:p>
    <w:p w14:paraId="739C6A1B"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the Department of Project Management and Regional Coordination;</w:t>
      </w:r>
    </w:p>
    <w:p w14:paraId="73151F86"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the Department of Sociological Research and Analytics;</w:t>
      </w:r>
    </w:p>
    <w:p w14:paraId="705630DE"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the Department of Digital Development;</w:t>
      </w:r>
    </w:p>
    <w:p w14:paraId="7CC2D14A"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 the Communication and Creative Group.</w:t>
      </w:r>
    </w:p>
    <w:p w14:paraId="0853928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4.2. The staff number of the Project Office is determined by the staff schedule of the Foundation. Positions are introduced in stages depending on the financing received. Development of the digital platform, video production, copywriting, design and work with creators may be outsourced.</w:t>
      </w:r>
    </w:p>
    <w:p w14:paraId="2FBA1E53"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5. Functions of the Structural Units</w:t>
      </w:r>
    </w:p>
    <w:p w14:paraId="1E7E230E"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5.1. The Department of Project Management and Regional Coordination:</w:t>
      </w:r>
    </w:p>
    <w:p w14:paraId="52CA1908"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maintains the portfolio of projects of the initiative, plans and monitors their implementation timelines;</w:t>
      </w:r>
    </w:p>
    <w:p w14:paraId="5EDB87D7"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interacts with the Ministry of Ecology and Natural Resources of the Republic of Kazakhstan, central government bodies and akimats, prepares materials for meetings, monitors the execution of instructions and decisions of meetings;</w:t>
      </w:r>
    </w:p>
    <w:p w14:paraId="72F88C3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ensures regional coordination, reconciliation of event plans with the akimats of 20 regions and support of the assigned regions;</w:t>
      </w:r>
    </w:p>
    <w:p w14:paraId="69A8DDE4"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monitors events, collects data, carries out photo and video recording and prepares reports;</w:t>
      </w:r>
    </w:p>
    <w:p w14:paraId="7E31B582"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 organises work with young people, volunteers, non-governmental organisations, schools and universities («Taza Mektep», «Taza Talqy», youth camp).</w:t>
      </w:r>
    </w:p>
    <w:p w14:paraId="63F60033"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5.2. The Department of Sociological Research and Analytics:</w:t>
      </w:r>
    </w:p>
    <w:p w14:paraId="17CB1DC9"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develops the research programme and the methodology for measuring public behaviour;</w:t>
      </w:r>
    </w:p>
    <w:p w14:paraId="1E99BC53"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lastRenderedPageBreak/>
        <w:t>2) conducts surveys, focus groups and field work in the regions;</w:t>
      </w:r>
    </w:p>
    <w:p w14:paraId="4ED28151"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works with big data, maintains dashboards, calculates key performance indicators and the «Tazalyq Index»;</w:t>
      </w:r>
    </w:p>
    <w:p w14:paraId="33853CA7"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monitors social media and citizens' requests, including through TazaQazBot;</w:t>
      </w:r>
    </w:p>
    <w:p w14:paraId="2B4751B2"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 prepares analytical notes and the annual report on environmental culture.</w:t>
      </w:r>
    </w:p>
    <w:p w14:paraId="631ADC59"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5.3. The Department of Digital Development:</w:t>
      </w:r>
    </w:p>
    <w:p w14:paraId="7A68766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ensures the creation and development of the TAZA.KZ digital platform and interacts with the platform contractor;</w:t>
      </w:r>
    </w:p>
    <w:p w14:paraId="207DE7EF"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ensures integration with TazaQazBot and state information systems;</w:t>
      </w:r>
    </w:p>
    <w:p w14:paraId="1EE6AE91"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organises digital monitoring using artificial intelligence and geographic information systems.</w:t>
      </w:r>
    </w:p>
    <w:p w14:paraId="7AE40B24"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5.4. The Communication and Creative Group:</w:t>
      </w:r>
    </w:p>
    <w:p w14:paraId="393DB7EC"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develops the communication strategy and media plan of the initiative and develops the unified Tazabek image;</w:t>
      </w:r>
    </w:p>
    <w:p w14:paraId="2D666E54"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ensures work with the media, press releases, press events and official comments;</w:t>
      </w:r>
    </w:p>
    <w:p w14:paraId="2ECB0C9C"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organises work with bloggers, ambassadors and creators, the «Menin Taza Adetim» challenge and creative projects;</w:t>
      </w:r>
    </w:p>
    <w:p w14:paraId="6D8A9B29"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ensures the production of photo and video materials, videos and documentary films and coverage of events in the regions.</w:t>
      </w:r>
    </w:p>
    <w:p w14:paraId="4295028A"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6. Management</w:t>
      </w:r>
    </w:p>
    <w:p w14:paraId="36A1B317" w14:textId="68107C13"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 xml:space="preserve">6.1. </w:t>
      </w:r>
      <w:r w:rsidR="00DD04F7">
        <w:rPr>
          <w:rFonts w:ascii="Times New Roman" w:hAnsi="Times New Roman" w:cs="Times New Roman"/>
          <w:sz w:val="24"/>
          <w:szCs w:val="24"/>
          <w:lang w:val="en-GB"/>
        </w:rPr>
        <w:t>The Project Office is headed by the Head of the Project Office (hereinafter – the Head), who</w:t>
      </w:r>
      <w:r w:rsidRPr="00A9457F">
        <w:rPr>
          <w:rFonts w:ascii="Times New Roman" w:hAnsi="Times New Roman" w:cs="Times New Roman"/>
          <w:sz w:val="24"/>
          <w:szCs w:val="24"/>
          <w:lang w:val="en-GB"/>
        </w:rPr>
        <w:t xml:space="preserve"> is appointed to and dismissed from the position by order of the Chief Executive Officer of the Foundation. </w:t>
      </w:r>
      <w:r w:rsidR="00DD04F7">
        <w:rPr>
          <w:rFonts w:ascii="Times New Roman" w:hAnsi="Times New Roman" w:cs="Times New Roman"/>
          <w:sz w:val="24"/>
          <w:szCs w:val="24"/>
          <w:lang w:val="en-GB"/>
        </w:rPr>
        <w:t>The Head</w:t>
      </w:r>
      <w:r w:rsidRPr="00A9457F">
        <w:rPr>
          <w:rFonts w:ascii="Times New Roman" w:hAnsi="Times New Roman" w:cs="Times New Roman"/>
          <w:sz w:val="24"/>
          <w:szCs w:val="24"/>
          <w:lang w:val="en-GB"/>
        </w:rPr>
        <w:t xml:space="preserve"> reports to the Chief Executive Officer of the Foundation.</w:t>
      </w:r>
    </w:p>
    <w:p w14:paraId="7165D3BE" w14:textId="2B41941E"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 xml:space="preserve">6.2. </w:t>
      </w:r>
      <w:r w:rsidR="00DD04F7">
        <w:rPr>
          <w:rFonts w:ascii="Times New Roman" w:hAnsi="Times New Roman" w:cs="Times New Roman"/>
          <w:sz w:val="24"/>
          <w:szCs w:val="24"/>
          <w:lang w:val="en-GB"/>
        </w:rPr>
        <w:t>The Head</w:t>
      </w:r>
      <w:r w:rsidRPr="00A9457F">
        <w:rPr>
          <w:rFonts w:ascii="Times New Roman" w:hAnsi="Times New Roman" w:cs="Times New Roman"/>
          <w:sz w:val="24"/>
          <w:szCs w:val="24"/>
          <w:lang w:val="en-GB"/>
        </w:rPr>
        <w:t>:</w:t>
      </w:r>
    </w:p>
    <w:p w14:paraId="3FFC2F1A"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organises and manages the activities of the Project Office and is responsible for the performance of the tasks assigned to the Project Office;</w:t>
      </w:r>
    </w:p>
    <w:p w14:paraId="7BEE647B"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ensures coordination with the Ministry of Ecology and Natural Resources of the Republic of Kazakhstan, government bodies and akimats;</w:t>
      </w:r>
    </w:p>
    <w:p w14:paraId="092AD902"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3) submits to the Chief Executive Officer of the Foundation proposals on the work plan, budget, staff number, hiring, transfer, incentives and disciplinary measures for employees of the Project Office;</w:t>
      </w:r>
    </w:p>
    <w:p w14:paraId="0630DA23"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4) allocates duties among the structural units and employees of the Project Office and approves their work plans;</w:t>
      </w:r>
    </w:p>
    <w:p w14:paraId="2E39B8D1"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5) submits reports on the activities of the Project Office to the Chief Executive Officer of the Foundation;</w:t>
      </w:r>
    </w:p>
    <w:p w14:paraId="1EFCDAFD"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6) represents the Project Office in relations with government bodies, organisations and the public within the powers granted by the Chief Executive Officer of the Foundation.</w:t>
      </w:r>
    </w:p>
    <w:p w14:paraId="028395A9" w14:textId="7AE8D3FF"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 xml:space="preserve">6.3. The structural units of the Project Office are headed by heads (director of department) reporting to </w:t>
      </w:r>
      <w:r w:rsidR="00DD04F7">
        <w:rPr>
          <w:rFonts w:ascii="Times New Roman" w:hAnsi="Times New Roman" w:cs="Times New Roman"/>
          <w:sz w:val="24"/>
          <w:szCs w:val="24"/>
          <w:lang w:val="en-GB"/>
        </w:rPr>
        <w:t>the Head</w:t>
      </w:r>
      <w:r w:rsidRPr="00A9457F">
        <w:rPr>
          <w:rFonts w:ascii="Times New Roman" w:hAnsi="Times New Roman" w:cs="Times New Roman"/>
          <w:sz w:val="24"/>
          <w:szCs w:val="24"/>
          <w:lang w:val="en-GB"/>
        </w:rPr>
        <w:t>. Supervision of certain areas of activity of the Project Office may be assigned by order of the Chief Executive Officer of the Foundation to the Deputy Chief Executive Officers.</w:t>
      </w:r>
    </w:p>
    <w:p w14:paraId="62D24126" w14:textId="693AC905"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 xml:space="preserve">6.4. During the temporary absence of </w:t>
      </w:r>
      <w:r w:rsidR="00DD04F7">
        <w:rPr>
          <w:rFonts w:ascii="Times New Roman" w:hAnsi="Times New Roman" w:cs="Times New Roman"/>
          <w:sz w:val="24"/>
          <w:szCs w:val="24"/>
          <w:lang w:val="en-GB"/>
        </w:rPr>
        <w:t>the Head</w:t>
      </w:r>
      <w:r w:rsidRPr="00A9457F">
        <w:rPr>
          <w:rFonts w:ascii="Times New Roman" w:hAnsi="Times New Roman" w:cs="Times New Roman"/>
          <w:sz w:val="24"/>
          <w:szCs w:val="24"/>
          <w:lang w:val="en-GB"/>
        </w:rPr>
        <w:t>, his/her duties are performed by an employee of the Project Office appointed by order of the Chief Executive Officer of the Foundation.</w:t>
      </w:r>
    </w:p>
    <w:p w14:paraId="02428BDC"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7. Interaction</w:t>
      </w:r>
    </w:p>
    <w:p w14:paraId="5B52BAFD"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7.1. In implementing the initiative, the roles are distributed as follows:</w:t>
      </w:r>
    </w:p>
    <w:p w14:paraId="7F6E160E"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 the Ministry of Ecology and Natural Resources of the Republic of Kazakhstan – overall guidance, setting priorities and coordination of government bodies and akimats;</w:t>
      </w:r>
    </w:p>
    <w:p w14:paraId="50062DEA"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2) the Project Office – implementation of the tasks of the initiative in the areas set out in sections 3–5 of these Regulations;</w:t>
      </w:r>
    </w:p>
    <w:p w14:paraId="10832093"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lastRenderedPageBreak/>
        <w:t>3) the Foundation – organisational, legal and financial platform, methodology and data verification, environmental analytics, international methodologies and partnerships, attraction of extra-budgetary funds.</w:t>
      </w:r>
    </w:p>
    <w:p w14:paraId="6FCA438A"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7.2. The Project Office interacts with other structural units of the Foundation, including the Project Office for Central Asia on Climate Change and Green Energy – on the review of projects and methodologies, the National Cleanliness Standard, waste management, water and air quality, and on presenting the experience of the «Taza Qazaqstan» initiative in the countries of Central Asia.</w:t>
      </w:r>
    </w:p>
    <w:p w14:paraId="0CD14198"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8. Financing, Reporting and Control</w:t>
      </w:r>
    </w:p>
    <w:p w14:paraId="4FD52EA8"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8.1. The activities of the Project Office are financed within the budget of the Foundation mainly from sponsorship and other extra-budgetary funds raised by the Foundation, including international grants.</w:t>
      </w:r>
    </w:p>
    <w:p w14:paraId="01DD35CE"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8.2. The Foundation ensures separate accounting of the funds received for the implementation of the initiative and their use for the intended purpose.</w:t>
      </w:r>
    </w:p>
    <w:p w14:paraId="4C6224A2"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8.3. Procurement of goods, works and services for the Project Office is carried out by the Foundation in accordance with the Procurement Rules of the Foundation and the approved procurement plan.</w:t>
      </w:r>
    </w:p>
    <w:p w14:paraId="4C0449DF" w14:textId="4BF4A21F"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 xml:space="preserve">8.4. </w:t>
      </w:r>
      <w:r w:rsidR="00DD04F7">
        <w:rPr>
          <w:rFonts w:ascii="Times New Roman" w:hAnsi="Times New Roman" w:cs="Times New Roman"/>
          <w:sz w:val="24"/>
          <w:szCs w:val="24"/>
          <w:lang w:val="en-GB"/>
        </w:rPr>
        <w:t>The Head</w:t>
      </w:r>
      <w:r w:rsidRPr="00A9457F">
        <w:rPr>
          <w:rFonts w:ascii="Times New Roman" w:hAnsi="Times New Roman" w:cs="Times New Roman"/>
          <w:sz w:val="24"/>
          <w:szCs w:val="24"/>
          <w:lang w:val="en-GB"/>
        </w:rPr>
        <w:t xml:space="preserve"> submits to the Chief Executive Officer of the Foundation a quarterly report on the activities of the Project Office and the achievement of key performance indicators. The annual report is included in the annual report on the activities of the Foundation.</w:t>
      </w:r>
    </w:p>
    <w:p w14:paraId="16474206"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8.5. Reporting to the Ministry of Ecology and Natural Resources of the Republic of Kazakhstan and to the sources of financing is submitted in the manner and within the time limits provided for by the relevant agreements.</w:t>
      </w:r>
    </w:p>
    <w:p w14:paraId="4EFA3D5A"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9. Responsibility</w:t>
      </w:r>
    </w:p>
    <w:p w14:paraId="5CB7EDFB" w14:textId="27EFD53A"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 xml:space="preserve">9.1. </w:t>
      </w:r>
      <w:r w:rsidR="00DD04F7">
        <w:rPr>
          <w:rFonts w:ascii="Times New Roman" w:hAnsi="Times New Roman" w:cs="Times New Roman"/>
          <w:sz w:val="24"/>
          <w:szCs w:val="24"/>
          <w:lang w:val="en-GB"/>
        </w:rPr>
        <w:t>The Head</w:t>
      </w:r>
      <w:r w:rsidRPr="00A9457F">
        <w:rPr>
          <w:rFonts w:ascii="Times New Roman" w:hAnsi="Times New Roman" w:cs="Times New Roman"/>
          <w:sz w:val="24"/>
          <w:szCs w:val="24"/>
          <w:lang w:val="en-GB"/>
        </w:rPr>
        <w:t xml:space="preserve"> and the employees of the Project Office are responsible for the proper performance of their duties, the safety of property and the confidentiality of information in accordance with employment contracts, job descriptions and internal documents of the Foundation.</w:t>
      </w:r>
    </w:p>
    <w:p w14:paraId="63C823D7" w14:textId="77777777" w:rsidR="00A9457F" w:rsidRPr="00A9457F" w:rsidRDefault="00A9457F" w:rsidP="00A9457F">
      <w:pPr>
        <w:keepNext/>
        <w:spacing w:before="240" w:after="120" w:line="240" w:lineRule="auto"/>
        <w:jc w:val="center"/>
        <w:rPr>
          <w:rFonts w:ascii="Times New Roman" w:hAnsi="Times New Roman" w:cs="Times New Roman"/>
          <w:b/>
          <w:sz w:val="24"/>
          <w:szCs w:val="24"/>
          <w:lang w:val="en-GB"/>
        </w:rPr>
      </w:pPr>
      <w:r w:rsidRPr="00A9457F">
        <w:rPr>
          <w:rFonts w:ascii="Times New Roman" w:hAnsi="Times New Roman" w:cs="Times New Roman"/>
          <w:b/>
          <w:sz w:val="24"/>
          <w:szCs w:val="24"/>
          <w:lang w:val="en-GB"/>
        </w:rPr>
        <w:t>10. Final Provisions</w:t>
      </w:r>
    </w:p>
    <w:p w14:paraId="61F76209" w14:textId="77777777" w:rsidR="00A9457F" w:rsidRPr="00A9457F" w:rsidRDefault="00A9457F" w:rsidP="00A9457F">
      <w:pPr>
        <w:spacing w:after="0" w:line="240" w:lineRule="auto"/>
        <w:ind w:firstLine="708"/>
        <w:jc w:val="both"/>
        <w:rPr>
          <w:rFonts w:ascii="Times New Roman" w:hAnsi="Times New Roman" w:cs="Times New Roman"/>
          <w:sz w:val="24"/>
          <w:szCs w:val="24"/>
          <w:lang w:val="en-GB"/>
        </w:rPr>
      </w:pPr>
      <w:r w:rsidRPr="00A9457F">
        <w:rPr>
          <w:rFonts w:ascii="Times New Roman" w:hAnsi="Times New Roman" w:cs="Times New Roman"/>
          <w:sz w:val="24"/>
          <w:szCs w:val="24"/>
          <w:lang w:val="en-GB"/>
        </w:rPr>
        <w:t>10.1. These Regulations and amendments and additions thereto are approved by the Management Council of the Foundation.</w:t>
      </w:r>
    </w:p>
    <w:p w14:paraId="1473D093" w14:textId="6A78CCA8" w:rsidR="00657A6D" w:rsidRPr="00A9457F" w:rsidRDefault="00A9457F" w:rsidP="00A9457F">
      <w:pPr>
        <w:spacing w:after="0" w:line="240" w:lineRule="auto"/>
        <w:ind w:firstLine="708"/>
        <w:jc w:val="both"/>
        <w:rPr>
          <w:rFonts w:ascii="Times New Roman" w:hAnsi="Times New Roman" w:cs="Times New Roman"/>
          <w:sz w:val="24"/>
          <w:lang w:val="en-GB"/>
        </w:rPr>
      </w:pPr>
      <w:r w:rsidRPr="00A9457F">
        <w:rPr>
          <w:rFonts w:ascii="Times New Roman" w:hAnsi="Times New Roman" w:cs="Times New Roman"/>
          <w:sz w:val="24"/>
          <w:szCs w:val="24"/>
          <w:lang w:val="en-GB"/>
        </w:rPr>
        <w:t>10.2. The Project Office is reorganised or abolished by decision of the Management Council of the Foundation.</w:t>
      </w:r>
    </w:p>
    <w:sectPr w:rsidR="00657A6D" w:rsidRPr="00A9457F" w:rsidSect="00A9457F">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308816" w14:textId="77777777" w:rsidR="00956A4B" w:rsidRDefault="00956A4B" w:rsidP="00771F00">
      <w:pPr>
        <w:spacing w:after="0" w:line="240" w:lineRule="auto"/>
      </w:pPr>
      <w:r>
        <w:separator/>
      </w:r>
    </w:p>
  </w:endnote>
  <w:endnote w:type="continuationSeparator" w:id="0">
    <w:p w14:paraId="4FA75FA3" w14:textId="77777777" w:rsidR="00956A4B" w:rsidRDefault="00956A4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0028D" w14:textId="77777777" w:rsidR="00A9457F" w:rsidRDefault="00A9457F" w:rsidP="00560D96">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35554F0E" w14:textId="77777777" w:rsidR="00A9457F" w:rsidRDefault="00A9457F">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ECB77" w14:textId="77777777" w:rsidR="00A9457F" w:rsidRDefault="00A9457F" w:rsidP="00560D96">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DD04F7">
      <w:rPr>
        <w:rStyle w:val="ab"/>
        <w:noProof/>
      </w:rPr>
      <w:t>4</w:t>
    </w:r>
    <w:r>
      <w:rPr>
        <w:rStyle w:val="ab"/>
      </w:rPr>
      <w:fldChar w:fldCharType="end"/>
    </w:r>
  </w:p>
  <w:p w14:paraId="71A4E01D" w14:textId="77777777" w:rsidR="00A9457F" w:rsidRDefault="00A9457F">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2ECDA5" w14:textId="77777777" w:rsidR="00A9457F" w:rsidRDefault="00A9457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5D20F" w14:textId="77777777" w:rsidR="00956A4B" w:rsidRDefault="00956A4B" w:rsidP="00771F00">
      <w:pPr>
        <w:spacing w:after="0" w:line="240" w:lineRule="auto"/>
      </w:pPr>
      <w:r>
        <w:separator/>
      </w:r>
    </w:p>
  </w:footnote>
  <w:footnote w:type="continuationSeparator" w:id="0">
    <w:p w14:paraId="0B8CBF51" w14:textId="77777777" w:rsidR="00956A4B" w:rsidRDefault="00956A4B" w:rsidP="00771F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8C884" w14:textId="77777777" w:rsidR="00A9457F" w:rsidRDefault="00A9457F">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4FA58" w14:textId="77777777" w:rsidR="00A9457F" w:rsidRDefault="00A9457F">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93991" w14:textId="77777777" w:rsidR="00A9457F" w:rsidRDefault="00A9457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2379D7"/>
    <w:rsid w:val="00237BF1"/>
    <w:rsid w:val="002A29EF"/>
    <w:rsid w:val="002C16B0"/>
    <w:rsid w:val="002D7F81"/>
    <w:rsid w:val="002E4ED6"/>
    <w:rsid w:val="00300E96"/>
    <w:rsid w:val="003717BA"/>
    <w:rsid w:val="00377609"/>
    <w:rsid w:val="003A2F44"/>
    <w:rsid w:val="003C6D97"/>
    <w:rsid w:val="0043450D"/>
    <w:rsid w:val="00443939"/>
    <w:rsid w:val="00497EE1"/>
    <w:rsid w:val="004A12F2"/>
    <w:rsid w:val="004D40F8"/>
    <w:rsid w:val="004E1A2A"/>
    <w:rsid w:val="0050306E"/>
    <w:rsid w:val="0052211B"/>
    <w:rsid w:val="0053003B"/>
    <w:rsid w:val="0057530C"/>
    <w:rsid w:val="00597588"/>
    <w:rsid w:val="006056A4"/>
    <w:rsid w:val="0064591D"/>
    <w:rsid w:val="006549D0"/>
    <w:rsid w:val="00657A6D"/>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E6885"/>
    <w:rsid w:val="008F047D"/>
    <w:rsid w:val="00906B7C"/>
    <w:rsid w:val="0095069A"/>
    <w:rsid w:val="00956A4B"/>
    <w:rsid w:val="009D6A80"/>
    <w:rsid w:val="009F09DB"/>
    <w:rsid w:val="009F19B6"/>
    <w:rsid w:val="009F1CD8"/>
    <w:rsid w:val="00A021B6"/>
    <w:rsid w:val="00A26175"/>
    <w:rsid w:val="00A47179"/>
    <w:rsid w:val="00A9457F"/>
    <w:rsid w:val="00AB72E4"/>
    <w:rsid w:val="00AE09EF"/>
    <w:rsid w:val="00B81B6F"/>
    <w:rsid w:val="00BB15DA"/>
    <w:rsid w:val="00BC6766"/>
    <w:rsid w:val="00BF704F"/>
    <w:rsid w:val="00C07369"/>
    <w:rsid w:val="00C40A05"/>
    <w:rsid w:val="00C6405E"/>
    <w:rsid w:val="00C90711"/>
    <w:rsid w:val="00CA283F"/>
    <w:rsid w:val="00CA3F36"/>
    <w:rsid w:val="00D33A6A"/>
    <w:rsid w:val="00D52FEE"/>
    <w:rsid w:val="00DA30BF"/>
    <w:rsid w:val="00DB09E5"/>
    <w:rsid w:val="00DB7E48"/>
    <w:rsid w:val="00DD04F7"/>
    <w:rsid w:val="00DE5219"/>
    <w:rsid w:val="00E01810"/>
    <w:rsid w:val="00E05E21"/>
    <w:rsid w:val="00E53A93"/>
    <w:rsid w:val="00E71E09"/>
    <w:rsid w:val="00EE457B"/>
    <w:rsid w:val="00F058B9"/>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058B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058B9"/>
    <w:rPr>
      <w:rFonts w:ascii="Segoe UI" w:hAnsi="Segoe UI" w:cs="Segoe UI"/>
      <w:sz w:val="18"/>
      <w:szCs w:val="18"/>
    </w:rPr>
  </w:style>
  <w:style w:type="character" w:styleId="ab">
    <w:name w:val="page number"/>
    <w:basedOn w:val="a0"/>
    <w:uiPriority w:val="99"/>
    <w:semiHidden/>
    <w:unhideWhenUsed/>
    <w:rsid w:val="00A94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1715</Words>
  <Characters>9900</Characters>
  <Application>Microsoft Office Word</Application>
  <DocSecurity>0</DocSecurity>
  <Lines>180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11511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50</cp:revision>
  <cp:lastPrinted>2026-09-28T12:28:00Z</cp:lastPrinted>
  <dcterms:created xsi:type="dcterms:W3CDTF">2024-04-22T06:36:00Z</dcterms:created>
  <dcterms:modified xsi:type="dcterms:W3CDTF">2026-10-29T07:34:00Z</dcterms:modified>
</cp:coreProperties>
</file>