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20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Исх. № 02/___ от ___.10.2026 г.</w:t>
      </w:r>
    </w:p>
    <w:p>
      <w:pPr>
        <w:spacing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Председателю Правления</w:t>
      </w:r>
    </w:p>
    <w:p>
      <w:pPr>
        <w:spacing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АО «Жасыл даму»</w:t>
      </w:r>
    </w:p>
    <w:p>
      <w:pPr>
        <w:spacing w:after="240" w:line="240" w:lineRule="auto"/>
        <w:ind w:left="6237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Сәрсенбай Е.Н.</w:t>
      </w:r>
    </w:p>
    <w:p w:rsidR="005C2EEC" w:rsidRDefault="005C2EEC">
      <w:pPr>
        <w:spacing w:after="160" w:line="240" w:lineRule="auto"/>
        <w:jc w:val="center"/>
        <w:rPr>
          <w:b/>
          <w:bCs/>
          <w:sz w:val="24"/>
          <w:szCs w:val="24"/>
        </w:rPr>
      </w:pPr>
    </w:p>
    <w:p>
      <w:pPr>
        <w:spacing w:after="160" w:line="240" w:lineRule="auto"/>
        <w:jc w:val="center"/>
        <w:rPr>
          <w:i/>
          <w:sz w:val="24"/>
          <w:szCs w:val="24"/>
        </w:rPr>
      </w:pPr>
      <w:r>
        <w:rPr>
          <w:b/>
          <w:bCs/>
          <w:i/>
          <w:sz w:val="24"/>
          <w:szCs w:val="24"/>
        </w:rPr>
        <w:t xml:space="preserve">Уважаемый Ержан Нұрланұлы!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От имени Центрально-Азиатского климатического фонда выражаю Вам почтение и желаю успехов в развитии системы управления отходами и перерабатывающей отрасли страны.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 Фонд зарегистрирован в Международном финансовом центре «Астана» и в соответствии с применимыми актами МФЦА имеет статус частного благотворительного фонда.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содействует реализации климатических и экологических мероприятий, поддерживает разработку политик и региональное сотрудничество, ведет аналитическую и экспертную работу по оценке внедрения ESG-принципов, климатических и экологических рисков, устойчивого развития, реализует образовательные и просветительские проекты совместно с государственными органами, международными организациями, бизнесом и научным сообществом.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Опыт этой работы показывает: экологические решения – от сокращения выбросов до обращения с отходами – дают результат только тогда, когда их поддерживает общество и они становятся частью повседневного поведения людей и бизнеса. Именно эту задачу на национальном уровне решает общенациональная инициатива Главы государства «Таза Қазақстан», поэтому ее развитие является приоритетной миссией Фонда.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 период реализации Концепции развития экологической культуры «Таза Қазақстан» на 2024–2029 годы инициатива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 результате реализации проектов АО «Жасыл даму» уровень переработки и утилизации твердых бытовых отходов вырос с 24% на начало 2024 года до 30,7% по итогам 2025 года.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Министерством экологии и природных ресурсов Республики Казахстан предложена новая модель реализации инициативы, ключевым инструментом которой станет постоянно действующий Проектный офис «Таза Қазақстан» (далее – Проектный офис) на базе Фонда (исх. № 01-10/5089-И от 14.10.2026). Предложение поддержано (№ 26-5068 от 19.10.2026). Деятельность Проектного офиса предусматривается обеспечивать преимущественно за счет спонсорских и иных внебюджетных средств, а на начальном этапе запуска – за счет части чистого дохода АО «Жасыл даму», остающегося в его распоряжении после выплаты дивидендов.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Размещение Проектного офиса при Фонде не требует создания новой организационной структуры и позволяет сразу использовать имеющуюся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Распределение ролей предлагается следующее: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Задачи Проектного офиса напрямую связаны с деятельностью АО «Жасыл даму»: формирование у граждан привычек раздельного сбора, сокращения и повторного использования отходов повышает вовлеченность населения в систему обращения с отходами и качество вторичного сырья, а единая цифровая платформа и система оценки результатов дадут сопоставимые данные по всем регионам страны.</w:t>
      </w:r>
    </w:p>
    <w:p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запуска Проектного офиса при Фонде с ноября 2026 года необходимо </w:t>
      </w:r>
      <w:r>
        <w:rPr>
          <w:b/>
          <w:bCs/>
          <w:sz w:val="24"/>
          <w:szCs w:val="24"/>
        </w:rPr>
        <w:t xml:space="preserve">250 000 000</w:t>
      </w:r>
      <w:r>
        <w:rPr>
          <w:sz w:val="24"/>
          <w:szCs w:val="24"/>
        </w:rPr>
        <w:t xml:space="preserve"> теңге (предварительный расчет прилагается), в том числе:</w:t>
      </w:r>
    </w:p>
    <w:p>
      <w:pPr>
        <w:spacing w:after="40" w:line="240" w:lineRule="auto"/>
        <w:ind w:left="567"/>
        <w:jc w:val="both"/>
        <w:rPr>
          <w:i/>
          <w:sz w:val="24"/>
          <w:szCs w:val="24"/>
        </w:rPr>
      </w:pPr>
      <w:r>
        <w:rPr>
          <w:b/>
          <w:bCs/>
          <w:i/>
          <w:sz w:val="24"/>
          <w:szCs w:val="24"/>
        </w:rPr>
        <w:t xml:space="preserve">А. Организационное обеспечение:</w:t>
      </w:r>
    </w:p>
    <w:p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«Команда» – 23 сотрудника Фонда и Проектного офиса с ноября 2026 года и привлеченные специалисты;</w:t>
      </w:r>
    </w:p>
    <w:p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«Рабочая среда» – офис, оснащение рабочих мест, цифровые инструменты;</w:t>
      </w:r>
    </w:p>
    <w:p>
      <w:pPr>
        <w:spacing w:after="8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«Связь с регионами и общественностью» – выезды в регионы, медиа и коммуникации.</w:t>
      </w:r>
    </w:p>
    <w:p>
      <w:pPr>
        <w:spacing w:after="40" w:line="240" w:lineRule="auto"/>
        <w:ind w:left="567"/>
        <w:jc w:val="both"/>
        <w:rPr>
          <w:b/>
          <w:bCs/>
          <w:i/>
          <w:sz w:val="24"/>
          <w:szCs w:val="24"/>
        </w:rPr>
      </w:pPr>
      <w:r>
        <w:rPr>
          <w:b/>
          <w:bCs/>
          <w:i/>
          <w:sz w:val="24"/>
          <w:szCs w:val="24"/>
        </w:rPr>
        <w:t xml:space="preserve">Б. Первоочередные проекты в рамках инициативы:</w:t>
      </w:r>
    </w:p>
    <w:p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«Цифровая платформа» – запуск TAZA.KZ;</w:t>
      </w:r>
    </w:p>
    <w:p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after="1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энергетике. Это позволит </w:t>
      </w:r>
      <w:r>
        <w:rPr>
          <w:b/>
          <w:bCs/>
          <w:sz w:val="24"/>
          <w:szCs w:val="24"/>
        </w:rPr>
        <w:t xml:space="preserve">представить опыт «Таза Қазақстан» как казахстанскую модель для всего региона Центральной Азии</w:t>
      </w:r>
      <w:r>
        <w:rPr>
          <w:sz w:val="24"/>
          <w:szCs w:val="24"/>
        </w:rPr>
        <w:t xml:space="preserve">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 учетом изложенного просим оказать Фонду благотворительную помощь в размере </w:t>
      </w:r>
      <w:r>
        <w:rPr>
          <w:b/>
          <w:bCs/>
          <w:sz w:val="24"/>
          <w:szCs w:val="24"/>
        </w:rPr>
        <w:t xml:space="preserve">250 000 000 (двести пятьдесят миллионов) теңге</w:t>
      </w:r>
      <w:r>
        <w:rPr>
          <w:sz w:val="24"/>
          <w:szCs w:val="24"/>
        </w:rPr>
        <w:t xml:space="preserve"> на запуск и обеспечение деятельности Проектного офиса «Таза Қазақстан» и перечислить средства по реквизитам, указанным в приложении к настоящему письму.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 своей стороны Фонд предусматривает упоминание АО «Жасыл даму» в пресс-релизах и публикациях с указанием того, что Проектный офис осуществляет свою деятельность при поддержке АО «Жасыл даму».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подтверждает ответственное отношение к соблюдению законодательства и правил, регулирующих финансовую деятельность некоммерческих организаций, в том числе в области противодействия легализации (отмыванию) доходов, полученных преступным путем, и финансированию терроризма. Обязуемся отчитаться о целевом использовании средств документально, с приложением фото- и видеоматериалов.</w:t>
      </w:r>
    </w:p>
    <w:p>
      <w:pPr>
        <w:spacing w:after="2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Передавая фото- и видеоматериалы, Фонд подтверждает согласие на их использование АО «Жасыл даму» в официальных целях, включая публикации в СМИ, на сайте и в социальных сетях АО «Жасыл даму», использование в отчетах и презентациях, а также размещение во внутреннем архиве.</w:t>
      </w:r>
    </w:p>
    <w:p>
      <w:pPr>
        <w:spacing w:line="240" w:lineRule="auto"/>
        <w:rPr>
          <w:b/>
          <w:i/>
          <w:sz w:val="24"/>
          <w:szCs w:val="24"/>
        </w:rPr>
      </w:pPr>
      <w:r>
        <w:rPr>
          <w:i/>
          <w:sz w:val="20"/>
          <w:szCs w:val="20"/>
        </w:rPr>
        <w:t xml:space="preserve">Приложение: предварительный расчет бюджета, реквизиты Фонда.</w:t>
      </w:r>
    </w:p>
    <w:p w:rsidR="005C2EEC" w:rsidRDefault="005C2EEC" w:rsidP="004C1CDB">
      <w:pPr>
        <w:spacing w:line="240" w:lineRule="auto"/>
        <w:rPr>
          <w:b/>
          <w:i/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i/>
          <w:sz w:val="24"/>
          <w:szCs w:val="24"/>
        </w:rPr>
      </w:pPr>
      <w:r w:rsidRPr="005C2EEC">
        <w:rPr>
          <w:b/>
          <w:i/>
          <w:sz w:val="24"/>
          <w:szCs w:val="24"/>
        </w:rPr>
        <w:t>С уважением,</w:t>
      </w:r>
    </w:p>
    <w:p w:rsidR="005C2EEC" w:rsidRPr="00422CE4" w:rsidRDefault="005C2EEC" w:rsidP="005C2EEC">
      <w:pPr>
        <w:spacing w:line="240" w:lineRule="auto"/>
        <w:rPr>
          <w:sz w:val="6"/>
          <w:szCs w:val="6"/>
        </w:rPr>
      </w:pPr>
    </w:p>
    <w:p w:rsidR="00205919" w:rsidRDefault="009D25C4" w:rsidP="005C2EEC">
      <w:pPr>
        <w:spacing w:line="240" w:lineRule="auto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Главный исполнительный директор</w:t>
      </w:r>
      <w:r w:rsid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  <w:t>Е.Н. Қаражан</w:t>
      </w:r>
    </w:p>
    <w:sectPr w:rsidR="005C2086" w:rsidRPr="005C2EEC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4E35" w:rsidRDefault="00054E35">
      <w:pPr>
        <w:spacing w:line="240" w:lineRule="auto"/>
      </w:pPr>
      <w:r>
        <w:separator/>
      </w:r>
    </w:p>
  </w:endnote>
  <w:endnote w:type="continuationSeparator" w:id="0">
    <w:p w:rsidR="00054E35" w:rsidRDefault="00054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891E24" w:rsidRPr="00891E24" w:rsidRDefault="00054E35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4E35" w:rsidRDefault="00054E35">
      <w:pPr>
        <w:spacing w:line="240" w:lineRule="auto"/>
      </w:pPr>
      <w:r>
        <w:separator/>
      </w:r>
    </w:p>
  </w:footnote>
  <w:footnote w:type="continuationSeparator" w:id="0">
    <w:p w:rsidR="00054E35" w:rsidRDefault="00054E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4E35"/>
    <w:rsid w:val="0005771B"/>
    <w:rsid w:val="00060BF1"/>
    <w:rsid w:val="00064D2A"/>
    <w:rsid w:val="000850EE"/>
    <w:rsid w:val="000860DC"/>
    <w:rsid w:val="000868CE"/>
    <w:rsid w:val="000B6796"/>
    <w:rsid w:val="000B7D0B"/>
    <w:rsid w:val="000C032D"/>
    <w:rsid w:val="000C26B2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E09A2"/>
    <w:rsid w:val="001F02EB"/>
    <w:rsid w:val="001F102C"/>
    <w:rsid w:val="001F78AE"/>
    <w:rsid w:val="00201EA7"/>
    <w:rsid w:val="00203B5D"/>
    <w:rsid w:val="00205919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B320C"/>
    <w:rsid w:val="002D6A3D"/>
    <w:rsid w:val="002E0789"/>
    <w:rsid w:val="002E0A7A"/>
    <w:rsid w:val="002E5EE8"/>
    <w:rsid w:val="002F11DB"/>
    <w:rsid w:val="002F13CE"/>
    <w:rsid w:val="002F154C"/>
    <w:rsid w:val="002F3E06"/>
    <w:rsid w:val="002F5B55"/>
    <w:rsid w:val="0031418F"/>
    <w:rsid w:val="00332C7A"/>
    <w:rsid w:val="00341A39"/>
    <w:rsid w:val="00354CD7"/>
    <w:rsid w:val="003749BD"/>
    <w:rsid w:val="00376C02"/>
    <w:rsid w:val="003827DB"/>
    <w:rsid w:val="003E367D"/>
    <w:rsid w:val="003E5C2A"/>
    <w:rsid w:val="003F43C7"/>
    <w:rsid w:val="00422CE4"/>
    <w:rsid w:val="00457A28"/>
    <w:rsid w:val="00470F8E"/>
    <w:rsid w:val="00492C2A"/>
    <w:rsid w:val="00495FBE"/>
    <w:rsid w:val="004B7116"/>
    <w:rsid w:val="004C1CDB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1FF9"/>
    <w:rsid w:val="00596E98"/>
    <w:rsid w:val="005B2670"/>
    <w:rsid w:val="005B4EA6"/>
    <w:rsid w:val="005C2086"/>
    <w:rsid w:val="005C2581"/>
    <w:rsid w:val="005C2EEC"/>
    <w:rsid w:val="005E2C2B"/>
    <w:rsid w:val="005F6C18"/>
    <w:rsid w:val="0063510C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25C4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47942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A3C3D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0F7F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4FC2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47FF06B-0574-4176-823A-52FC7DFF5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1332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8911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Письмо ЦАКФ в АО «Жасыл даму»</dc:title>
  <dc:creator>Пользователь</dc:creator>
  <cp:lastModifiedBy>Учетная запись Майкрософт</cp:lastModifiedBy>
  <cp:revision>6</cp:revision>
  <cp:lastPrinted>2026-07-21T04:47:00Z</cp:lastPrinted>
  <dcterms:created xsi:type="dcterms:W3CDTF">2026-10-12T05:10:00Z</dcterms:created>
  <dcterms:modified xsi:type="dcterms:W3CDTF">2026-10-12T10:18:00Z</dcterms:modified>
</cp:coreProperties>
</file>