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DD9621B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b/>
          <w:sz w:val="24"/>
          <w:szCs w:val="24"/>
        </w:rPr>
      </w:pPr>
      <w:bookmarkStart w:id="0" w:name="_GoBack"/>
      <w:bookmarkEnd w:id="0"/>
      <w:r w:rsidRPr="0033740B">
        <w:rPr>
          <w:rFonts w:ascii="Times New Roman" w:hAnsi="Times New Roman" w:cs="Times New Roman"/>
          <w:b/>
          <w:sz w:val="24"/>
          <w:szCs w:val="24"/>
        </w:rPr>
        <w:t>ПРОЕКТ</w:t>
      </w:r>
    </w:p>
    <w:p w14:paraId="78D108B4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0E6718D0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УТВЕРЖДЕНО</w:t>
      </w:r>
    </w:p>
    <w:p w14:paraId="53D2E8FF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решением Управляющего совета</w:t>
      </w:r>
    </w:p>
    <w:p w14:paraId="32BA8627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Центрально-Азиатского климатического фонда</w:t>
      </w:r>
    </w:p>
    <w:p w14:paraId="382F7AB9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(протокол № ___ от «___» __________ 2026 года)</w:t>
      </w:r>
    </w:p>
    <w:p w14:paraId="2C2B0F3C" w14:textId="77777777" w:rsidR="0033740B" w:rsidRPr="0033740B" w:rsidRDefault="0033740B" w:rsidP="0033740B">
      <w:pPr>
        <w:spacing w:after="0" w:line="240" w:lineRule="auto"/>
        <w:jc w:val="right"/>
        <w:rPr>
          <w:rFonts w:ascii="Times New Roman" w:hAnsi="Times New Roman" w:cs="Times New Roman"/>
          <w:sz w:val="24"/>
          <w:szCs w:val="24"/>
        </w:rPr>
      </w:pPr>
    </w:p>
    <w:p w14:paraId="575C1258" w14:textId="77777777" w:rsidR="0033740B" w:rsidRPr="0033740B" w:rsidRDefault="0033740B" w:rsidP="0033740B">
      <w:pPr>
        <w:spacing w:before="240"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ПОЛОЖЕНИЕ</w:t>
      </w:r>
    </w:p>
    <w:p w14:paraId="525CBD69" w14:textId="77777777" w:rsidR="0033740B" w:rsidRPr="0033740B" w:rsidRDefault="0033740B" w:rsidP="0033740B">
      <w:pPr>
        <w:spacing w:after="24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о Проектном офисе для Центральной Азии по изменению климата и зеленой энергетике</w:t>
      </w:r>
    </w:p>
    <w:p w14:paraId="5831908A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1. Общие положения</w:t>
      </w:r>
    </w:p>
    <w:p w14:paraId="17F20BD5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1.1. Проектный офис для Центральной Азии по изменению климата и зеленой энергетике (далее – Проектный офис) является структурным подразделением Частного фонда «Central Asia Climate Foundation» (Центрально-Азиатский климатический фонд, далее – Фонд), обеспечивающим региональное и международное направление деятельности Фонда в области охраны окружающей среды, изменения климата и зеленой энергетики.</w:t>
      </w:r>
    </w:p>
    <w:p w14:paraId="7617634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1.2. Фонд создан 22 февраля 2024 года как юридическая форма Проектного офиса для Центральной Азии по изменению климата и зеленой энергетике во исполнение инициативы Главы государства, озвученной на 78-й сессии Генеральной Ассамблеи ООН. Наименование «Проектный офис для Центральной Азии по изменению климата и зеленой энергетике» используется Фондом в официальных коммуникациях в соответствии с Уставом Фонда. Настоящее Положение определяет порядок работы одноименного структурного подразделения Фонда.</w:t>
      </w:r>
    </w:p>
    <w:p w14:paraId="3B0C9B2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1.3. В пункте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выразили готовность к сотрудничеству в рамках Проектного офиса для Центральной Азии по изменению климата и зеленой энергетике.</w:t>
      </w:r>
    </w:p>
    <w:p w14:paraId="3F42921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1.4. Проектный офис включен в структуру Фонда решением Управляющего совета Фонда (протокол № 13 от «___» октября 2026 года) на базе экспертной группы Фонда.</w:t>
      </w:r>
    </w:p>
    <w:p w14:paraId="49C5FC3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1.5. Проектный офис не является юридическим лицом, не имеет самостоятельного баланса и печати. Договоры, соглашения и иные документы от имени Фонда подписываются Главным исполнительным директором Фонда либо лицом, уполномоченным доверенностью.</w:t>
      </w:r>
    </w:p>
    <w:p w14:paraId="472429E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1.6. Проектный офис в своей деятельности руководствуется Регламентом фондов МФЦА и иными актами Международного финансового центра «Астана», законодательством Республики Казахстан в части, применимой к деятельности Фонда, Уставом и Положением Фонда, внутренними документами Фонда, решениями Управляющего совета, приказами Главного исполнительного директора Фонда и настоящим Положением.</w:t>
      </w:r>
    </w:p>
    <w:p w14:paraId="0828E9DB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2. Цель и задачи</w:t>
      </w:r>
    </w:p>
    <w:p w14:paraId="36B0E61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2.1. Цель Проектного офиса – содействие региональному сотрудничеству стран Центральной Азии в области охраны окружающей среды, изменения климата и зеленой энергетики, привлечение международного опыта, партнерств и финансирования для достижения целей Фонда.</w:t>
      </w:r>
    </w:p>
    <w:p w14:paraId="4D23BAEE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2.2. Задачи Проектного офиса:</w:t>
      </w:r>
    </w:p>
    <w:p w14:paraId="76400919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 xml:space="preserve">1) развитие регионального сотрудничества стран Центральной Азии, сопровождение и практическая реализация решений и инициатив, принятых на региональных </w:t>
      </w:r>
      <w:r w:rsidRPr="0033740B">
        <w:rPr>
          <w:rFonts w:ascii="Times New Roman" w:hAnsi="Times New Roman" w:cs="Times New Roman"/>
          <w:sz w:val="24"/>
          <w:szCs w:val="24"/>
        </w:rPr>
        <w:lastRenderedPageBreak/>
        <w:t>климатических и экологических мероприятиях, в том числе на Региональном экологическом саммите;</w:t>
      </w:r>
    </w:p>
    <w:p w14:paraId="4003726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развитие партнерств с международными организациями, финансовыми институтами и донорами, привлечение грантового и проектного финансирования;</w:t>
      </w:r>
    </w:p>
    <w:p w14:paraId="61BD3EA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3) экспертиза проектов, программ и методик в области климата и экологии, внедрение международных методик;</w:t>
      </w:r>
    </w:p>
    <w:p w14:paraId="2B0B67AC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4) экспертное сопровождение проектов Фонда, в том числе инициативы «Таза Қазақстан» (Национальный стандарт чистоты, «Қалдықсыз Қазақстан», качество воды и воздуха);</w:t>
      </w:r>
    </w:p>
    <w:p w14:paraId="32FA3CC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представление опыта инициативы «Таза Қазақстан» как казахстанской модели для стран Центральной Азии.</w:t>
      </w:r>
    </w:p>
    <w:p w14:paraId="3272D111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3. Функции</w:t>
      </w:r>
    </w:p>
    <w:p w14:paraId="0861F07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3.1. Проектный офис:</w:t>
      </w:r>
    </w:p>
    <w:p w14:paraId="572FED2F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1) готовит и сопровождает региональные и международные проекты, заявки на гранты и проектную документацию, ведет переписку с партнерами, в том числе на английском языке;</w:t>
      </w:r>
    </w:p>
    <w:p w14:paraId="5BE3FD0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проводит экологическую экспертизу, собирает и анализирует данные о состоянии окружающей среды, готовит методические материалы;</w:t>
      </w:r>
    </w:p>
    <w:p w14:paraId="2525C57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3) готовит экспертные заключения и рекомендации в области обращения с отходами, качества воды и воздуха;</w:t>
      </w:r>
    </w:p>
    <w:p w14:paraId="27BB0C88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4) готовит аналитические материалы, обзоры и рекомендации по вопросам изменения климата и зеленой энергетики;</w:t>
      </w:r>
    </w:p>
    <w:p w14:paraId="1EE308C1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участвует в работе Экспертного совета и Учебного центра Фонда, готовит материалы для обучения и повышения квалификации специалистов;</w:t>
      </w:r>
    </w:p>
    <w:p w14:paraId="3BCD24E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6) обеспечивает подготовку к участию Фонда в региональных и международных мероприятиях.</w:t>
      </w:r>
    </w:p>
    <w:p w14:paraId="33E95546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4. Структура</w:t>
      </w:r>
    </w:p>
    <w:p w14:paraId="5A2B83D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4.1. В состав Проектного офиса входят:</w:t>
      </w:r>
    </w:p>
    <w:p w14:paraId="5738B815" w14:textId="05FA76F2" w:rsidR="0033740B" w:rsidRPr="0033740B" w:rsidRDefault="00672638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1) Руководитель Проектного офиса для Центральной Азии по изменению климата и зеленой энергетике – Главный исполнительный директор Фонда;</w:t>
      </w:r>
    </w:p>
    <w:p w14:paraId="72377320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Менеджер проектов;</w:t>
      </w:r>
    </w:p>
    <w:p w14:paraId="7F46DFFC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3) Эксперт-эколог;</w:t>
      </w:r>
    </w:p>
    <w:p w14:paraId="357EEFE2" w14:textId="6F0BF847" w:rsidR="00672638" w:rsidRPr="0033740B" w:rsidRDefault="00672638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Эксперт по молодежным и общественным проектам;</w:t>
      </w:r>
    </w:p>
    <w:p w14:paraId="251A04DA" w14:textId="65D8690D" w:rsidR="0033740B" w:rsidRPr="0033740B" w:rsidRDefault="00672638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5) Эксперт по отходам, воде и воздуху.</w:t>
      </w:r>
    </w:p>
    <w:p w14:paraId="413C62DB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4.2. Штатная численность Проектного офиса определяется штатным расписанием Фонда. Штатные единицы вводятся поэтапно в зависимости от поступления финансирования. Для выполнения отдельных работ могут привлекаться внешние эксперты по договорам.</w:t>
      </w:r>
    </w:p>
    <w:p w14:paraId="01A7E70C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5. Руководство</w:t>
      </w:r>
    </w:p>
    <w:p w14:paraId="3B775EC0" w14:textId="00319D27" w:rsidR="0033740B" w:rsidRPr="0033740B" w:rsidRDefault="00672638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5.1. Проектный офис возглавляет Главный исполнительный директор Фонда, являющийся Руководителем Проектного офиса для Центральной Азии по изменению климата и зеленой энергетике (далее – Руководитель), без отдельной штатной единицы.</w:t>
      </w:r>
    </w:p>
    <w:p w14:paraId="1A0DB2A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5.2. Руководитель:</w:t>
      </w:r>
    </w:p>
    <w:p w14:paraId="71B8A3A9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1) организует деятельность Проектного офиса и руководит ею, несет ответственность за выполнение возложенных на Проектный офис задач;</w:t>
      </w:r>
    </w:p>
    <w:p w14:paraId="21E65227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2) планирует работу Проектного офиса, распределяет обязанности между работниками;</w:t>
      </w:r>
    </w:p>
    <w:p w14:paraId="0BC14021" w14:textId="46405574" w:rsidR="0033740B" w:rsidRPr="0033740B" w:rsidRDefault="00813E4D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3) утверждает план работы Проектного офиса, вносит предложения по бюджету,</w:t>
      </w:r>
      <w:r w:rsidR="0033740B" w:rsidRPr="0033740B">
        <w:rPr>
          <w:rFonts w:ascii="Times New Roman" w:hAnsi="Times New Roman" w:cs="Times New Roman"/>
          <w:sz w:val="24"/>
          <w:szCs w:val="24"/>
        </w:rPr>
        <w:t xml:space="preserve"> штатной численности, приему, перемещению, поощрению и взысканию работников Проектного офиса;</w:t>
      </w:r>
    </w:p>
    <w:p w14:paraId="1A5B0458" w14:textId="19B80E45" w:rsidR="0033740B" w:rsidRPr="0033740B" w:rsidRDefault="00672638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4) включает сведения о деятельности Проектного офиса в отчеты Фонда, представляемые Управляющему совету и Верховному попечителю;</w:t>
      </w:r>
    </w:p>
    <w:p w14:paraId="11277C7E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5) представляет Проектный офис в отношениях с международными организациями, государственными органами стран Центральной Азии и партнерами в пределах полномочий, предоставленных Главным исполнительным директором Фонда.</w:t>
      </w:r>
    </w:p>
    <w:p w14:paraId="6C1389CF" w14:textId="77777777" w:rsidR="00813E4D" w:rsidRPr="0033740B" w:rsidRDefault="00813E4D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5.3. На период временного отсутствия Руководителя текущей деятельностью Проектного офиса руководит работник Проектного офиса, назначенный приказом Главного исполнительного директора Фонда.</w:t>
      </w:r>
    </w:p>
    <w:p w14:paraId="7D25B6E2" w14:textId="77777777" w:rsidR="00813E4D" w:rsidRPr="0033740B" w:rsidRDefault="00813E4D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5.4. Главный исполнительный директор Фонда вправе приказом поручить координацию текущей деятельности Проектного офиса работнику Проектного офиса с определением объема поручаемых полномочий.</w:t>
      </w:r>
    </w:p>
    <w:p w14:paraId="4895E1C9" w14:textId="37390AF8" w:rsidR="0033740B" w:rsidRPr="0033740B" w:rsidRDefault="00813E4D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5.5. Проектный офис работает по годовому плану работы, который разрабатывается Проектным офисом с учетом Стратегии развития Фонда и утверждается Главным исполнительным директором Фонда. Проекты и мероприятия Проектного офиса включаются в план работы и реализуются в пределах утвержденного бюджета Фонда.</w:t>
      </w:r>
    </w:p>
    <w:p w14:paraId="3EE29FC2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6. Взаимодействие</w:t>
      </w:r>
    </w:p>
    <w:p w14:paraId="4B00C532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6.1. Проектный офис взаимодействует с Проектным офисом «Таза Қазақстан» и другими структурными подразделениями Фонда, а также с международными организациями, государственными органами и организациями стран Центральной Азии, экспертным и научным сообществом.</w:t>
      </w:r>
    </w:p>
    <w:p w14:paraId="6647A023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6.2. Обращения и предложения Проектного офиса к международным партнерам и государственным органам направляются от имени Фонда за подписью Главного исполнительного директора Фонда либо уполномоченного лица.</w:t>
      </w:r>
    </w:p>
    <w:p w14:paraId="27D39271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7. Финансирование и отчетность</w:t>
      </w:r>
    </w:p>
    <w:p w14:paraId="44004460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7.1. Деятельность Проектного офиса финансируется в пределах бюджета Фонда за счет средств Фонда, грантов и иных внебюджетных источников.</w:t>
      </w:r>
    </w:p>
    <w:p w14:paraId="503EFB16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7.2. Средства грантов и целевого финансирования учитываются раздельно и используются по целевому назначению.</w:t>
      </w:r>
    </w:p>
    <w:p w14:paraId="18B95434" w14:textId="7090C723" w:rsidR="0033740B" w:rsidRPr="0033740B" w:rsidRDefault="00672638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7.3. Менеджер проектов ежеквартально готовит и представляет Руководителю отчет о деятельности Проектного офиса. Отчет за год включается в годовой отчет о деятельности Фонда.</w:t>
      </w:r>
    </w:p>
    <w:p w14:paraId="66CA2AAB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8. Ответственность</w:t>
      </w:r>
    </w:p>
    <w:p w14:paraId="7D60A690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8.1. Руководитель и работники Проектного офиса несут ответственность за надлежащее исполнение своих обязанностей, сохранность имущества и конфиденциальность информации в соответствии с трудовыми договорами, должностными инструкциями и внутренними документами Фонда.</w:t>
      </w:r>
    </w:p>
    <w:p w14:paraId="2F96E465" w14:textId="77777777" w:rsidR="0033740B" w:rsidRPr="0033740B" w:rsidRDefault="0033740B" w:rsidP="0033740B">
      <w:pPr>
        <w:keepNext/>
        <w:spacing w:before="240" w:after="12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33740B">
        <w:rPr>
          <w:rFonts w:ascii="Times New Roman" w:hAnsi="Times New Roman" w:cs="Times New Roman"/>
          <w:b/>
          <w:sz w:val="24"/>
          <w:szCs w:val="24"/>
        </w:rPr>
        <w:t>9. Заключительные положения</w:t>
      </w:r>
    </w:p>
    <w:p w14:paraId="76BB1A0A" w14:textId="77777777" w:rsidR="0033740B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9.1. Настоящее Положение, изменения и дополнения в него утверждаются Управляющим советом Фонда.</w:t>
      </w:r>
    </w:p>
    <w:p w14:paraId="1473D093" w14:textId="02E2E421" w:rsidR="00657A6D" w:rsidRPr="0033740B" w:rsidRDefault="0033740B" w:rsidP="0033740B">
      <w:pPr>
        <w:spacing w:after="0" w:line="240" w:lineRule="auto"/>
        <w:ind w:firstLine="708"/>
        <w:jc w:val="both"/>
        <w:rPr>
          <w:rFonts w:ascii="Times New Roman" w:hAnsi="Times New Roman" w:cs="Times New Roman"/>
          <w:sz w:val="24"/>
        </w:rPr>
      </w:pPr>
      <w:r w:rsidRPr="0033740B">
        <w:rPr>
          <w:rFonts w:ascii="Times New Roman" w:hAnsi="Times New Roman" w:cs="Times New Roman"/>
          <w:sz w:val="24"/>
          <w:szCs w:val="24"/>
        </w:rPr>
        <w:t>9.2. Проектный офис реорганизуется или упраздняется решением Управляющего совета Фонда.</w:t>
      </w:r>
    </w:p>
    <w:sectPr w:rsidR="00657A6D" w:rsidRPr="0033740B" w:rsidSect="0033740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850" w:bottom="1134" w:left="17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308816" w14:textId="77777777" w:rsidR="00956A4B" w:rsidRDefault="00956A4B" w:rsidP="00771F00">
      <w:pPr>
        <w:spacing w:after="0" w:line="240" w:lineRule="auto"/>
      </w:pPr>
      <w:r>
        <w:separator/>
      </w:r>
    </w:p>
  </w:endnote>
  <w:endnote w:type="continuationSeparator" w:id="0">
    <w:p w14:paraId="4FA75FA3" w14:textId="77777777" w:rsidR="00956A4B" w:rsidRDefault="00956A4B" w:rsidP="00771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B819300" w14:textId="77777777" w:rsidR="0033740B" w:rsidRDefault="0033740B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end"/>
    </w:r>
  </w:p>
  <w:p w14:paraId="7D575820" w14:textId="77777777" w:rsidR="0033740B" w:rsidRDefault="0033740B">
    <w:pPr>
      <w:pStyle w:val="a5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4F154FF" w14:textId="77777777" w:rsidR="0033740B" w:rsidRDefault="0033740B" w:rsidP="00560D96">
    <w:pPr>
      <w:pStyle w:val="a5"/>
      <w:framePr w:wrap="around" w:vAnchor="text" w:hAnchor="margin" w:xAlign="center" w:y="1"/>
      <w:rPr>
        <w:rStyle w:val="ab"/>
      </w:rPr>
    </w:pPr>
    <w:r>
      <w:rPr>
        <w:rStyle w:val="ab"/>
      </w:rPr>
      <w:fldChar w:fldCharType="begin"/>
    </w:r>
    <w:r>
      <w:rPr>
        <w:rStyle w:val="ab"/>
      </w:rPr>
      <w:instrText xml:space="preserve">PAGE  </w:instrText>
    </w:r>
    <w:r>
      <w:rPr>
        <w:rStyle w:val="ab"/>
      </w:rPr>
      <w:fldChar w:fldCharType="separate"/>
    </w:r>
    <w:r w:rsidR="00813E4D">
      <w:rPr>
        <w:rStyle w:val="ab"/>
        <w:noProof/>
      </w:rPr>
      <w:t>3</w:t>
    </w:r>
    <w:r>
      <w:rPr>
        <w:rStyle w:val="ab"/>
      </w:rPr>
      <w:fldChar w:fldCharType="end"/>
    </w:r>
  </w:p>
  <w:p w14:paraId="2071634A" w14:textId="77777777" w:rsidR="0033740B" w:rsidRDefault="0033740B">
    <w:pPr>
      <w:pStyle w:val="a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EEF4AE6" w14:textId="77777777" w:rsidR="0033740B" w:rsidRDefault="0033740B">
    <w:pPr>
      <w:pStyle w:val="a5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13B5D20F" w14:textId="77777777" w:rsidR="00956A4B" w:rsidRDefault="00956A4B" w:rsidP="00771F00">
      <w:pPr>
        <w:spacing w:after="0" w:line="240" w:lineRule="auto"/>
      </w:pPr>
      <w:r>
        <w:separator/>
      </w:r>
    </w:p>
  </w:footnote>
  <w:footnote w:type="continuationSeparator" w:id="0">
    <w:p w14:paraId="0B8CBF51" w14:textId="77777777" w:rsidR="00956A4B" w:rsidRDefault="00956A4B" w:rsidP="00771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EE3B9E8" w14:textId="77777777" w:rsidR="0033740B" w:rsidRDefault="0033740B">
    <w:pPr>
      <w:pStyle w:val="a3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47215C2E" w14:textId="77777777" w:rsidR="0033740B" w:rsidRDefault="0033740B">
    <w:pPr>
      <w:pStyle w:val="a3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66E5CE2" w14:textId="77777777" w:rsidR="0033740B" w:rsidRDefault="0033740B">
    <w:pPr>
      <w:pStyle w:val="a3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95C211A"/>
    <w:multiLevelType w:val="hybridMultilevel"/>
    <w:tmpl w:val="2E20E6E8"/>
    <w:lvl w:ilvl="0" w:tplc="0419000F">
      <w:start w:val="1"/>
      <w:numFmt w:val="decimal"/>
      <w:lvlText w:val="%1."/>
      <w:lvlJc w:val="left"/>
      <w:pPr>
        <w:ind w:left="1425" w:hanging="360"/>
      </w:pPr>
    </w:lvl>
    <w:lvl w:ilvl="1" w:tplc="04190019" w:tentative="1">
      <w:start w:val="1"/>
      <w:numFmt w:val="lowerLetter"/>
      <w:lvlText w:val="%2."/>
      <w:lvlJc w:val="left"/>
      <w:pPr>
        <w:ind w:left="2145" w:hanging="360"/>
      </w:pPr>
    </w:lvl>
    <w:lvl w:ilvl="2" w:tplc="0419001B" w:tentative="1">
      <w:start w:val="1"/>
      <w:numFmt w:val="lowerRoman"/>
      <w:lvlText w:val="%3."/>
      <w:lvlJc w:val="right"/>
      <w:pPr>
        <w:ind w:left="2865" w:hanging="180"/>
      </w:pPr>
    </w:lvl>
    <w:lvl w:ilvl="3" w:tplc="0419000F" w:tentative="1">
      <w:start w:val="1"/>
      <w:numFmt w:val="decimal"/>
      <w:lvlText w:val="%4."/>
      <w:lvlJc w:val="left"/>
      <w:pPr>
        <w:ind w:left="3585" w:hanging="360"/>
      </w:pPr>
    </w:lvl>
    <w:lvl w:ilvl="4" w:tplc="04190019" w:tentative="1">
      <w:start w:val="1"/>
      <w:numFmt w:val="lowerLetter"/>
      <w:lvlText w:val="%5."/>
      <w:lvlJc w:val="left"/>
      <w:pPr>
        <w:ind w:left="4305" w:hanging="360"/>
      </w:pPr>
    </w:lvl>
    <w:lvl w:ilvl="5" w:tplc="0419001B" w:tentative="1">
      <w:start w:val="1"/>
      <w:numFmt w:val="lowerRoman"/>
      <w:lvlText w:val="%6."/>
      <w:lvlJc w:val="right"/>
      <w:pPr>
        <w:ind w:left="5025" w:hanging="180"/>
      </w:pPr>
    </w:lvl>
    <w:lvl w:ilvl="6" w:tplc="0419000F" w:tentative="1">
      <w:start w:val="1"/>
      <w:numFmt w:val="decimal"/>
      <w:lvlText w:val="%7."/>
      <w:lvlJc w:val="left"/>
      <w:pPr>
        <w:ind w:left="5745" w:hanging="360"/>
      </w:pPr>
    </w:lvl>
    <w:lvl w:ilvl="7" w:tplc="04190019" w:tentative="1">
      <w:start w:val="1"/>
      <w:numFmt w:val="lowerLetter"/>
      <w:lvlText w:val="%8."/>
      <w:lvlJc w:val="left"/>
      <w:pPr>
        <w:ind w:left="6465" w:hanging="360"/>
      </w:pPr>
    </w:lvl>
    <w:lvl w:ilvl="8" w:tplc="0419001B" w:tentative="1">
      <w:start w:val="1"/>
      <w:numFmt w:val="lowerRoman"/>
      <w:lvlText w:val="%9."/>
      <w:lvlJc w:val="right"/>
      <w:pPr>
        <w:ind w:left="7185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6A4"/>
    <w:rsid w:val="00024961"/>
    <w:rsid w:val="0005731C"/>
    <w:rsid w:val="000C1B80"/>
    <w:rsid w:val="0011670F"/>
    <w:rsid w:val="001576FB"/>
    <w:rsid w:val="001673E7"/>
    <w:rsid w:val="00182BF4"/>
    <w:rsid w:val="001A5083"/>
    <w:rsid w:val="001C3244"/>
    <w:rsid w:val="002379D7"/>
    <w:rsid w:val="00237BF1"/>
    <w:rsid w:val="002A29EF"/>
    <w:rsid w:val="002C16B0"/>
    <w:rsid w:val="002D7F81"/>
    <w:rsid w:val="002E4ED6"/>
    <w:rsid w:val="00300E96"/>
    <w:rsid w:val="0033740B"/>
    <w:rsid w:val="003717BA"/>
    <w:rsid w:val="00377609"/>
    <w:rsid w:val="003A2F44"/>
    <w:rsid w:val="003C6D97"/>
    <w:rsid w:val="0043450D"/>
    <w:rsid w:val="00443939"/>
    <w:rsid w:val="00497EE1"/>
    <w:rsid w:val="004A12F2"/>
    <w:rsid w:val="004D40F8"/>
    <w:rsid w:val="004E1A2A"/>
    <w:rsid w:val="0050306E"/>
    <w:rsid w:val="0052211B"/>
    <w:rsid w:val="0053003B"/>
    <w:rsid w:val="0057530C"/>
    <w:rsid w:val="00597588"/>
    <w:rsid w:val="006056A4"/>
    <w:rsid w:val="0064591D"/>
    <w:rsid w:val="006549D0"/>
    <w:rsid w:val="00657A6D"/>
    <w:rsid w:val="006700A7"/>
    <w:rsid w:val="00672638"/>
    <w:rsid w:val="006B7A15"/>
    <w:rsid w:val="006C3898"/>
    <w:rsid w:val="006E05AC"/>
    <w:rsid w:val="006E7142"/>
    <w:rsid w:val="00700531"/>
    <w:rsid w:val="00764B71"/>
    <w:rsid w:val="00771F00"/>
    <w:rsid w:val="0077787D"/>
    <w:rsid w:val="007F6652"/>
    <w:rsid w:val="007F693E"/>
    <w:rsid w:val="00813E4D"/>
    <w:rsid w:val="00820A1C"/>
    <w:rsid w:val="00826944"/>
    <w:rsid w:val="008400FE"/>
    <w:rsid w:val="008E6885"/>
    <w:rsid w:val="008F047D"/>
    <w:rsid w:val="00906B7C"/>
    <w:rsid w:val="0095069A"/>
    <w:rsid w:val="00956A4B"/>
    <w:rsid w:val="009D6A80"/>
    <w:rsid w:val="009F09DB"/>
    <w:rsid w:val="009F19B6"/>
    <w:rsid w:val="009F1CD8"/>
    <w:rsid w:val="00A021B6"/>
    <w:rsid w:val="00A26175"/>
    <w:rsid w:val="00A47179"/>
    <w:rsid w:val="00AB72E4"/>
    <w:rsid w:val="00AE09EF"/>
    <w:rsid w:val="00B81B6F"/>
    <w:rsid w:val="00BB15DA"/>
    <w:rsid w:val="00BC6766"/>
    <w:rsid w:val="00BF704F"/>
    <w:rsid w:val="00C07369"/>
    <w:rsid w:val="00C40A05"/>
    <w:rsid w:val="00C6405E"/>
    <w:rsid w:val="00C90711"/>
    <w:rsid w:val="00CA283F"/>
    <w:rsid w:val="00CA3F36"/>
    <w:rsid w:val="00D33A6A"/>
    <w:rsid w:val="00D52FEE"/>
    <w:rsid w:val="00DA30BF"/>
    <w:rsid w:val="00DB09E5"/>
    <w:rsid w:val="00DB7E48"/>
    <w:rsid w:val="00DE5219"/>
    <w:rsid w:val="00E01810"/>
    <w:rsid w:val="00E05E21"/>
    <w:rsid w:val="00E53A93"/>
    <w:rsid w:val="00E71E09"/>
    <w:rsid w:val="00EE457B"/>
    <w:rsid w:val="00F058B9"/>
    <w:rsid w:val="00F4571F"/>
    <w:rsid w:val="00FB6B85"/>
    <w:rsid w:val="00FE2A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FADA64"/>
  <w15:chartTrackingRefBased/>
  <w15:docId w15:val="{1942A3CB-4654-4B4D-BB42-E0B8A13B8D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771F00"/>
  </w:style>
  <w:style w:type="paragraph" w:styleId="a5">
    <w:name w:val="footer"/>
    <w:basedOn w:val="a"/>
    <w:link w:val="a6"/>
    <w:uiPriority w:val="99"/>
    <w:unhideWhenUsed/>
    <w:rsid w:val="00771F0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771F00"/>
  </w:style>
  <w:style w:type="paragraph" w:styleId="a7">
    <w:name w:val="List Paragraph"/>
    <w:basedOn w:val="a"/>
    <w:uiPriority w:val="34"/>
    <w:qFormat/>
    <w:rsid w:val="00771F00"/>
    <w:pPr>
      <w:ind w:left="720"/>
      <w:contextualSpacing/>
    </w:pPr>
  </w:style>
  <w:style w:type="table" w:styleId="a8">
    <w:name w:val="Table Grid"/>
    <w:basedOn w:val="a1"/>
    <w:uiPriority w:val="39"/>
    <w:rsid w:val="000C1B8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Balloon Text"/>
    <w:basedOn w:val="a"/>
    <w:link w:val="aa"/>
    <w:uiPriority w:val="99"/>
    <w:semiHidden/>
    <w:unhideWhenUsed/>
    <w:rsid w:val="00F058B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a">
    <w:name w:val="Текст выноски Знак"/>
    <w:basedOn w:val="a0"/>
    <w:link w:val="a9"/>
    <w:uiPriority w:val="99"/>
    <w:semiHidden/>
    <w:rsid w:val="00F058B9"/>
    <w:rPr>
      <w:rFonts w:ascii="Segoe UI" w:hAnsi="Segoe UI" w:cs="Segoe UI"/>
      <w:sz w:val="18"/>
      <w:szCs w:val="18"/>
    </w:rPr>
  </w:style>
  <w:style w:type="character" w:styleId="ab">
    <w:name w:val="page number"/>
    <w:basedOn w:val="a0"/>
    <w:uiPriority w:val="99"/>
    <w:semiHidden/>
    <w:unhideWhenUsed/>
    <w:rsid w:val="0033740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3</Pages>
  <Words>1160</Words>
  <Characters>6614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7759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Рамазан Кумарбекович</dc:creator>
  <cp:keywords/>
  <dc:description/>
  <cp:lastModifiedBy>Учетная запись Майкрософт</cp:lastModifiedBy>
  <cp:revision>51</cp:revision>
  <cp:lastPrinted>2026-09-28T12:28:00Z</cp:lastPrinted>
  <dcterms:created xsi:type="dcterms:W3CDTF">2024-04-22T06:36:00Z</dcterms:created>
  <dcterms:modified xsi:type="dcterms:W3CDTF">2026-10-29T07:06:00Z</dcterms:modified>
</cp:coreProperties>
</file>