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Исх. № </w:t>
      </w:r>
      <w:r>
        <w:rPr>
          <w:rFonts w:ascii="Arial" w:hAnsi="Arial" w:cs="Arial"/>
          <w:sz w:val="20"/>
          <w:szCs w:val="20"/>
          <w:highlight w:val="yellow"/>
        </w:rPr>
        <w:t xml:space="preserve">02/___</w:t>
      </w:r>
      <w:r>
        <w:rPr>
          <w:rFonts w:ascii="Arial" w:hAnsi="Arial" w:cs="Arial"/>
          <w:sz w:val="20"/>
          <w:szCs w:val="20"/>
        </w:rPr>
        <w:t xml:space="preserve"> от </w:t>
      </w:r>
      <w:r>
        <w:rPr>
          <w:rFonts w:ascii="Arial" w:hAnsi="Arial" w:cs="Arial"/>
          <w:sz w:val="20"/>
          <w:szCs w:val="20"/>
          <w:highlight w:val="yellow"/>
        </w:rPr>
        <w:t xml:space="preserve">__.10.2026</w:t>
      </w:r>
      <w:r>
        <w:rPr>
          <w:rFonts w:ascii="Arial" w:hAnsi="Arial" w:cs="Arial"/>
          <w:sz w:val="20"/>
          <w:szCs w:val="20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Республики Казахстан</w:t>
      </w:r>
    </w:p>
    <w:p>
      <w:pPr>
        <w:spacing w:before="0" w:after="24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highlight w:val="yellow"/>
        </w:rPr>
        <w:t xml:space="preserve">Куантырову ___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Мандат Фонда подтвержден на высшем региональном уровне.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 с целью ускорения региональных действий, направленных на содействие экологическому переходу в регионе. Это позволяет не только реализовывать инициативу внутри страны, но и представлять опыт «Таза Қазақстан» как казахстанскую модель для всего региона.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Общенациональная инициатива «Таза Қазақстан», выдвинутая Главой государства, за период реализации Концепции развития экологической культуры на 2024–2029 годы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Распределение ролей предлагается следующее: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0"/>
          <w:szCs w:val="20"/>
          <w:highlight w:val="yellow"/>
        </w:rPr>
        <w:t xml:space="preserve">320 745</w:t>
      </w:r>
      <w:r>
        <w:rPr>
          <w:rFonts w:ascii="Arial" w:hAnsi="Arial" w:cs="Arial"/>
          <w:sz w:val="20"/>
          <w:szCs w:val="20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А. Организационное обеспечение – 177 745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«Связь с регионами»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0"/>
          <w:szCs w:val="20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Подробные сметы и паспорта проектов будут представлены дополнительно. Начиная с 2027 года деятельность Проектного офиса предлагается обеспечивать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24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0"/>
          <w:szCs w:val="20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0"/>
          <w:szCs w:val="20"/>
        </w:rPr>
        <w:t xml:space="preserve">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Главный исполнительный директор,</w:t>
      </w:r>
    </w:p>
    <w:p>
      <w:pPr>
        <w:spacing w:before="0" w:after="24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Руководитель Проектного офиса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