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0EAA00A5" w:rsidR="009A7496" w:rsidRPr="005F4683" w:rsidRDefault="00AA717E">
      <w:pPr>
        <w:spacing w:after="0" w:line="240" w:lineRule="auto"/>
        <w:contextualSpacing/>
        <w:jc w:val="center"/>
        <w:rPr>
          <w:rFonts w:ascii="Arial" w:hAnsi="Arial" w:cs="Arial"/>
          <w:sz w:val="24"/>
          <w:szCs w:val="24"/>
        </w:rPr>
      </w:pPr>
      <w:r>
        <w:rPr>
          <w:rFonts w:ascii="Arial" w:hAnsi="Arial" w:cs="Arial"/>
          <w:sz w:val="24"/>
          <w:szCs w:val="24"/>
        </w:rPr>
        <w:t>№12</w:t>
      </w:r>
    </w:p>
    <w:p w14:paraId="4CFF5B4E" w14:textId="0A0D22AD" w:rsidR="009A7496" w:rsidRDefault="00AA717E">
      <w:pPr>
        <w:spacing w:after="0" w:line="240" w:lineRule="auto"/>
        <w:contextualSpacing/>
        <w:jc w:val="center"/>
        <w:rPr>
          <w:rFonts w:ascii="Arial" w:hAnsi="Arial" w:cs="Arial"/>
          <w:sz w:val="24"/>
          <w:szCs w:val="24"/>
        </w:rPr>
      </w:pPr>
      <w:r>
        <w:rPr>
          <w:rFonts w:ascii="Arial" w:hAnsi="Arial" w:cs="Arial"/>
          <w:sz w:val="24"/>
          <w:szCs w:val="24"/>
        </w:rPr>
        <w:t>Четверг, 30 июля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77777777"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Главный исполнительный директор, Руководитель Проектного офиса.</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162056D5" w14:textId="77777777" w:rsidR="009A7496" w:rsidRDefault="009A7496">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7CF44102" w:rsidR="009A7496" w:rsidRDefault="00AA717E">
      <w:pPr>
        <w:spacing w:after="0" w:line="240" w:lineRule="auto"/>
        <w:contextualSpacing/>
        <w:rPr>
          <w:rFonts w:ascii="Arial" w:hAnsi="Arial" w:cs="Arial"/>
        </w:rPr>
      </w:pPr>
      <w:r>
        <w:rPr>
          <w:rFonts w:ascii="Arial" w:hAnsi="Arial" w:cs="Arial"/>
        </w:rPr>
        <w:t>3. Александр Кононец – Советник по стратегии и науке.</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3D7AD64D" w:rsidR="009A7496" w:rsidRPr="005F4683" w:rsidRDefault="00AA717E">
      <w:pPr>
        <w:pStyle w:val="a9"/>
        <w:numPr>
          <w:ilvl w:val="0"/>
          <w:numId w:val="1"/>
        </w:numPr>
        <w:spacing w:after="0" w:line="240" w:lineRule="auto"/>
        <w:contextualSpacing/>
        <w:rPr>
          <w:rFonts w:ascii="Arial" w:hAnsi="Arial" w:cs="Arial"/>
        </w:rPr>
      </w:pPr>
      <w:r>
        <w:rPr>
          <w:rFonts w:ascii="Arial" w:hAnsi="Arial" w:cs="Arial"/>
        </w:rPr>
        <w:t>О расширении направлений деятельности Фонда.</w:t>
      </w:r>
    </w:p>
    <w:p w14:paraId="61AA53C0" w14:textId="2E587AB2" w:rsidR="00EF2AAB" w:rsidRPr="005F4683" w:rsidRDefault="00AA717E" w:rsidP="00EF2AAB">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Учебного центра и Экспертного совета.</w:t>
      </w:r>
    </w:p>
    <w:p w14:paraId="1E6CAFC6" w14:textId="77777777" w:rsidR="009A7496" w:rsidRDefault="009A7496">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1A1C1C5" w:rsidR="009A7496" w:rsidRDefault="00AA717E">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0322EECB" w:rsidR="006E0FC9" w:rsidRDefault="00AA717E" w:rsidP="00997CDA">
      <w:pPr>
        <w:suppressAutoHyphens w:val="0"/>
        <w:spacing w:after="0" w:line="240" w:lineRule="auto"/>
        <w:jc w:val="both"/>
        <w:rPr>
          <w:rFonts w:ascii="Arial" w:hAnsi="Arial" w:cs="Arial"/>
        </w:rPr>
      </w:pPr>
      <w:r>
        <w:rPr>
          <w:rFonts w:ascii="Arial" w:hAnsi="Arial" w:cs="Arial"/>
          <w:b/>
        </w:rPr>
        <w:t>По вопросу 1 Повестки о расширении направлений деятельности Фонда выступил Главный исполнительный директор, Руководитель Проектного офиса Ерлік Қаражан. Фонд участвует в реализации инициатив «Таза Қазақстан», развивает направление ESG, получает запросы на оценку климатических и экологических рисков и на подготовку аналитических материалов по климатической повестке. Действующий перечень целей Фонда (часть 3 Устава) эти направления прямо не охватывает.</w:t>
      </w:r>
    </w:p>
    <w:p w14:paraId="49A188C4" w14:textId="0AA949CE" w:rsidR="009A7496" w:rsidRPr="00EF2AAB" w:rsidRDefault="00D27C8D" w:rsidP="00997CDA">
      <w:pPr>
        <w:suppressAutoHyphens w:val="0"/>
        <w:spacing w:after="0" w:line="240" w:lineRule="auto"/>
        <w:jc w:val="both"/>
        <w:rPr>
          <w:rFonts w:ascii="Arial" w:hAnsi="Arial" w:cs="Arial"/>
        </w:rPr>
      </w:pPr>
      <w:bookmarkStart w:id="1" w:name="_Hlk206662525"/>
      <w:r>
        <w:rPr>
          <w:rFonts w:ascii="Arial" w:hAnsi="Arial" w:cs="Arial"/>
        </w:rPr>
        <w:tab/>
        <w:t xml:space="preserve">Далее выступил Заместитель Главного исполнительного директора по административным вопросам Мурат Темирбеков и предложил в соответствии со Стратегией развития Фонда на 2026–2035 годы и заключенными меморандумами о сотрудничестве дополнить цели Фонда следующими направлениями: участие в реализации национальных и региональных экологических инициатив, в том числе «Таза Қазақстан»; содействие внедрению принципов ESG; оценка климатических и экологических рисков; аналитика по климатическим вопросам; образовательная деятельность; экспертное сопровождение проектов и </w:t>
      </w:r>
      <w:r>
        <w:rPr>
          <w:rFonts w:ascii="Arial" w:hAnsi="Arial" w:cs="Arial"/>
        </w:rPr>
        <w:lastRenderedPageBreak/>
        <w:t xml:space="preserve">программ; </w:t>
      </w:r>
      <w:r w:rsidR="00FD7A82">
        <w:rPr>
          <w:rFonts w:ascii="Arial" w:hAnsi="Arial" w:cs="Arial"/>
        </w:rPr>
        <w:t>региональные климатические и экологические проекты и инициативы, в том числе организация саммитов, конференций, форумов и иных мероприятий, и сопровождение инициатив Регионального экологического саммита 2026 года</w:t>
      </w:r>
      <w:r>
        <w:rPr>
          <w:rFonts w:ascii="Arial" w:hAnsi="Arial" w:cs="Arial"/>
        </w:rPr>
        <w:t>; климатическое финансирование и углеродные рынки; грантовая поддержка экологических проектов; охрана окружающей среды (отходы, воздух, водные ресурсы, деградация земель); цифровые решения для мониторинга экологических данных; вовлечение детей и молодежи, программа «Зеленые школы»; популяризация экологических инициатив. Также предложено закрепить в Уставе наименования, используемые в официальных коммуникациях, в том числе «Проектный офис для Центральной Азии по изменению климата и зеленой энергетике». Изменения в Устав и Положение вносятся Учредителем после письменного согласия Верховного попечителя (пункт 5.1 Устава, раздел 15 Положения).</w:t>
      </w:r>
    </w:p>
    <w:p w14:paraId="19F93739" w14:textId="4C22580B" w:rsidR="005F4683" w:rsidRDefault="00AA717E"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расширении направлений деятельности Фонда.</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331F75F9" w:rsidR="005F4683" w:rsidRPr="00EB2BB8" w:rsidRDefault="00AA717E"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о включении в структуру Фонда Учебного центра и Экспертного совета выступил Советник по стратегии и науке Александр Кононец и предложил для реализации новых направлений включить в структуру Фонда: Учебный центр </w:t>
      </w:r>
      <w:r w:rsidR="004E46FF">
        <w:rPr>
          <w:rFonts w:ascii="Arial" w:hAnsi="Arial" w:cs="Arial"/>
          <w:b/>
          <w:bCs/>
        </w:rPr>
        <w:t>–</w:t>
      </w:r>
      <w:r>
        <w:rPr>
          <w:rFonts w:ascii="Arial" w:hAnsi="Arial" w:cs="Arial"/>
          <w:b/>
          <w:bCs/>
        </w:rPr>
        <w:t xml:space="preserve"> для обучения, повышения квалификации и развития потенциала специалистов в области изменения климата, устойчивого развития и ESG; Экспертный совет </w:t>
      </w:r>
      <w:r w:rsidR="004E46FF">
        <w:rPr>
          <w:rFonts w:ascii="Arial" w:hAnsi="Arial" w:cs="Arial"/>
          <w:b/>
          <w:bCs/>
        </w:rPr>
        <w:t>–</w:t>
      </w:r>
      <w:r>
        <w:rPr>
          <w:rFonts w:ascii="Arial" w:hAnsi="Arial" w:cs="Arial"/>
          <w:b/>
          <w:bCs/>
        </w:rPr>
        <w:t xml:space="preserve"> консультативно-совещательный орган из числа ведущих отечественных и зарубежных экспертов для экспертизы проектов, программ и аналитических материалов Фонда. Статус, задачи и порядок работы Учебного центра и Экспертного совета определяются положениями, утверждаемыми Управляющим советом.</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6C9C5ECD"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 включении в структуру Фонда Учебного центра и Экспертного совета.</w:t>
      </w:r>
    </w:p>
    <w:p w14:paraId="1E624B7C" w14:textId="4E4E4995"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6D658CE0"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1) подготовить проект изменений и дополнений в Устав и Положение Фонда со сравнительными таблицами и внести его Учредителю для принятия решения после согласования с Верховным попечителем;</w:t>
      </w:r>
    </w:p>
    <w:p w14:paraId="03DA99C3" w14:textId="54777A7F" w:rsidR="009A7496" w:rsidRDefault="00AA717E">
      <w:pPr>
        <w:spacing w:after="0" w:line="240" w:lineRule="auto"/>
        <w:contextualSpacing/>
        <w:jc w:val="both"/>
        <w:rPr>
          <w:rFonts w:ascii="Arial" w:hAnsi="Arial" w:cs="Arial"/>
        </w:rPr>
      </w:pPr>
      <w:r>
        <w:rPr>
          <w:rFonts w:ascii="Arial" w:hAnsi="Arial" w:cs="Arial"/>
        </w:rPr>
        <w:t>2) разработать и внести на утверждение Управляющего совета проекты положений об Учебном центре и Экспертном совете;</w:t>
      </w:r>
    </w:p>
    <w:p w14:paraId="7EDF3815" w14:textId="5C05C692" w:rsidR="00AA717E" w:rsidRDefault="00AA717E">
      <w:pPr>
        <w:spacing w:after="0" w:line="240" w:lineRule="auto"/>
        <w:contextualSpacing/>
        <w:jc w:val="both"/>
        <w:rPr>
          <w:rFonts w:ascii="Arial" w:hAnsi="Arial" w:cs="Arial"/>
        </w:rPr>
      </w:pPr>
      <w:r>
        <w:rPr>
          <w:rFonts w:ascii="Arial" w:hAnsi="Arial" w:cs="Arial"/>
        </w:rPr>
        <w:t>3) направить Верховному попечителю ЦАКФ соответствующую информацию о принятых решениях.</w:t>
      </w:r>
    </w:p>
    <w:p w14:paraId="3F3E81C9" w14:textId="77777777" w:rsidR="00AA717E" w:rsidRDefault="00AA717E">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35123F71" w:rsidR="00AD5EF6" w:rsidRPr="004B0FF9" w:rsidRDefault="00AA717E"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12</w:t>
      </w:r>
    </w:p>
    <w:p w14:paraId="555216AE" w14:textId="05CC1866" w:rsidR="00AD5EF6" w:rsidRPr="004B0FF9" w:rsidRDefault="00AA717E"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Thursday, July 30,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0F1FB76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 Mr. Yerlik Karazhan – Chief Executive Officer, Head of the Project Office.</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0B3FBEF4" w14:textId="77777777" w:rsidR="00AD5EF6" w:rsidRPr="004B0FF9" w:rsidRDefault="00AD5EF6"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4CFCE3D7" w:rsidR="00AD5EF6" w:rsidRPr="004B0FF9" w:rsidRDefault="00AA717E" w:rsidP="00AD5EF6">
      <w:pPr>
        <w:spacing w:after="0" w:line="240" w:lineRule="auto"/>
        <w:contextualSpacing/>
        <w:rPr>
          <w:rFonts w:ascii="Arial" w:hAnsi="Arial" w:cs="Arial"/>
          <w:lang w:val="en-US"/>
        </w:rPr>
      </w:pPr>
      <w:r>
        <w:rPr>
          <w:rFonts w:ascii="Arial" w:hAnsi="Arial" w:cs="Arial"/>
          <w:lang w:val="en-US"/>
        </w:rPr>
        <w:t>3. Mr. Alexander Kononets – Advisor on Strategy and Science.</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798314B1" w:rsidR="00AD5EF6" w:rsidRPr="004B0FF9" w:rsidRDefault="00AA717E" w:rsidP="00AD5EF6">
      <w:pPr>
        <w:pStyle w:val="a9"/>
        <w:spacing w:after="0" w:line="240" w:lineRule="auto"/>
        <w:ind w:left="720" w:hanging="360"/>
        <w:contextualSpacing/>
        <w:rPr>
          <w:rFonts w:ascii="Arial" w:hAnsi="Arial" w:cs="Arial"/>
          <w:lang w:val="en-US"/>
        </w:rPr>
      </w:pPr>
      <w:r>
        <w:rPr>
          <w:rFonts w:ascii="Arial" w:hAnsi="Arial" w:cs="Arial"/>
          <w:lang w:val="en-US"/>
        </w:rPr>
        <w:t>1. On the expansion of the areas of activity of the Foundation.</w:t>
      </w:r>
    </w:p>
    <w:p w14:paraId="2474813A" w14:textId="703F7D69" w:rsidR="00AD5EF6" w:rsidRPr="004B0FF9" w:rsidRDefault="00AA717E" w:rsidP="00AD5EF6">
      <w:pPr>
        <w:pStyle w:val="a9"/>
        <w:spacing w:after="0" w:line="240" w:lineRule="auto"/>
        <w:ind w:left="720" w:hanging="360"/>
        <w:contextualSpacing/>
        <w:rPr>
          <w:rFonts w:ascii="Arial" w:hAnsi="Arial" w:cs="Arial"/>
          <w:lang w:val="en-US"/>
        </w:rPr>
      </w:pPr>
      <w:r>
        <w:rPr>
          <w:rFonts w:ascii="Arial" w:hAnsi="Arial" w:cs="Arial"/>
          <w:lang w:val="en-US"/>
        </w:rPr>
        <w:t>2. On the inclusion of the Training Centre and the Expert Council in the structure of the Foundation.</w:t>
      </w:r>
    </w:p>
    <w:p w14:paraId="248E4598" w14:textId="77777777" w:rsidR="00AD5EF6" w:rsidRPr="004B0FF9" w:rsidRDefault="00AD5EF6"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7D32B20A" w:rsidR="00AD5EF6" w:rsidRPr="004B0FF9" w:rsidRDefault="00AA717E"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55F140CC" w:rsidR="00AD5EF6" w:rsidRPr="004B0FF9" w:rsidRDefault="00AA717E" w:rsidP="00AD5EF6">
      <w:pPr>
        <w:suppressAutoHyphens w:val="0"/>
        <w:spacing w:after="0" w:line="240" w:lineRule="auto"/>
        <w:jc w:val="both"/>
        <w:rPr>
          <w:rFonts w:ascii="Arial" w:hAnsi="Arial" w:cs="Arial"/>
          <w:lang w:val="en-US"/>
        </w:rPr>
      </w:pPr>
      <w:r>
        <w:rPr>
          <w:rFonts w:ascii="Arial" w:hAnsi="Arial" w:cs="Arial"/>
          <w:b/>
          <w:lang w:val="en-US"/>
        </w:rPr>
        <w:t>On item 1 of the Agenda on the expansion of the areas of activity of the Foundation, the Chief Executive Officer, Head of the Project Office, Yerlik Karazhan, spoke. The Foundation participates in the implementation of the «Taza Qazaqstan» initiatives, develops the ESG area and receives requests for climate and environmental risk assessment and for analytical materials on the climate agenda. The current list of objects of the Foundation (Part 3 of the Charter) does not expressly cover these areas.</w:t>
      </w:r>
    </w:p>
    <w:p w14:paraId="07DD7191" w14:textId="37701F98" w:rsidR="00AD5EF6" w:rsidRPr="004B0FF9" w:rsidRDefault="00D27C8D" w:rsidP="00AD5EF6">
      <w:pPr>
        <w:suppressAutoHyphens w:val="0"/>
        <w:spacing w:after="0" w:line="240" w:lineRule="auto"/>
        <w:jc w:val="both"/>
        <w:rPr>
          <w:rFonts w:ascii="Arial" w:hAnsi="Arial" w:cs="Arial"/>
          <w:lang w:val="en-US"/>
        </w:rPr>
      </w:pPr>
      <w:r>
        <w:rPr>
          <w:rFonts w:ascii="Arial" w:hAnsi="Arial" w:cs="Arial"/>
          <w:lang w:val="en-US"/>
        </w:rPr>
        <w:t xml:space="preserve">Next, the Deputy Chief Executive Officer for Administrative Issues, Murat Temirbekov, spoke and proposed, in accordance with the Development Strategy of the Foundation for 2026–2035 and the memoranda of cooperation concluded, to supplement the objects of the Foundation with the following areas: participation in the implementation of national and regional environmental initiatives, including «Taza Qazaqstan»; promotion of ESG principles; climate and environmental risk assessment; analytics on climate issues; educational activities; expert support of projects and programmes; </w:t>
      </w:r>
      <w:r w:rsidR="00FD7A82">
        <w:rPr>
          <w:rFonts w:ascii="Arial" w:hAnsi="Arial" w:cs="Arial"/>
          <w:lang w:val="en-US"/>
        </w:rPr>
        <w:t xml:space="preserve">regional climate and environmental projects and initiatives, including organisation of summits, conferences, forums and other events, and follow-up of the initiatives of the </w:t>
      </w:r>
      <w:r w:rsidR="007E4E52">
        <w:rPr>
          <w:rFonts w:ascii="Arial" w:hAnsi="Arial" w:cs="Arial"/>
          <w:lang w:val="en-US"/>
        </w:rPr>
        <w:t>Regional Environmental Summit 2026</w:t>
      </w:r>
      <w:r>
        <w:rPr>
          <w:rFonts w:ascii="Arial" w:hAnsi="Arial" w:cs="Arial"/>
          <w:lang w:val="en-US"/>
        </w:rPr>
        <w:t>; climate finance and carbon markets; grant support for environmental projects; environmental protection (waste, air, water resources, land degradation); digital solutions for environmental data monitoring; engagement of children and youth, the Green Schools programme; promotion of environmental initiatives. It was also proposed to set out in the Charter the names used in official communications, including «Project Office for Central Asia on climate change and green energy». Amendments to the Charter and the By-laws are made by the Founder with the written consent of the Supreme Guardian (section 5.1 of the Charter, section 15 of the By-laws).</w:t>
      </w:r>
    </w:p>
    <w:p w14:paraId="555A6EDD" w14:textId="6190298C"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expansion of the areas of activity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3A4128AD"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on the inclusion of the Training Centre and the Expert Council in the structure of the Foundation, the Advisor on Strategy and Science, Alexander Kononets, spoke and proposed to include in the structure of the Foundation: the Training Centre </w:t>
      </w:r>
      <w:r w:rsidR="004E46FF">
        <w:rPr>
          <w:rFonts w:ascii="Arial" w:hAnsi="Arial" w:cs="Arial"/>
          <w:b/>
          <w:bCs/>
          <w:lang w:val="en-US"/>
        </w:rPr>
        <w:t>–</w:t>
      </w:r>
      <w:r>
        <w:rPr>
          <w:rFonts w:ascii="Arial" w:hAnsi="Arial" w:cs="Arial"/>
          <w:b/>
          <w:bCs/>
          <w:lang w:val="en-US"/>
        </w:rPr>
        <w:t xml:space="preserve"> for training, professional development and capacity building of specialists in climate change, sustainable development and ESG; the Expert Council </w:t>
      </w:r>
      <w:r w:rsidR="004E46FF">
        <w:rPr>
          <w:rFonts w:ascii="Arial" w:hAnsi="Arial" w:cs="Arial"/>
          <w:b/>
          <w:bCs/>
          <w:lang w:val="en-US"/>
        </w:rPr>
        <w:t>–</w:t>
      </w:r>
      <w:r>
        <w:rPr>
          <w:rFonts w:ascii="Arial" w:hAnsi="Arial" w:cs="Arial"/>
          <w:b/>
          <w:bCs/>
          <w:lang w:val="en-US"/>
        </w:rPr>
        <w:t xml:space="preserve"> an advisory body composed of leading national and international experts for the review of projects, programmes and analytical materials of the Foundation. The status, tasks and procedures of the Training Centre and the Expert Council are determined by regulations approved by the Management Council.</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4632CE69"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inclusion of the Training Centre and the Expert Council in the structure of the Foundation.</w:t>
      </w:r>
    </w:p>
    <w:p w14:paraId="0E8FBF75" w14:textId="060564B4"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2DBECFDB"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1) to prepare draft amendments to the Charter and the By-laws of the Foundation with comparison tables and submit them to the Founder for decision upon approval of the Supreme Guardian;</w:t>
      </w:r>
    </w:p>
    <w:p w14:paraId="02D28938" w14:textId="68DD6663" w:rsidR="00AD5EF6" w:rsidRDefault="00AA717E" w:rsidP="00AD5EF6">
      <w:pPr>
        <w:spacing w:after="0" w:line="240" w:lineRule="auto"/>
        <w:contextualSpacing/>
        <w:jc w:val="both"/>
        <w:rPr>
          <w:rFonts w:ascii="Arial" w:hAnsi="Arial" w:cs="Arial"/>
          <w:lang w:val="en-US"/>
        </w:rPr>
      </w:pPr>
      <w:r>
        <w:rPr>
          <w:rFonts w:ascii="Arial" w:hAnsi="Arial" w:cs="Arial"/>
          <w:lang w:val="en-US"/>
        </w:rPr>
        <w:t>2) to develop and submit to the Management Council for approval draft regulations on the Training Centre and the Expert Council;</w:t>
      </w:r>
    </w:p>
    <w:p w14:paraId="7A855A12" w14:textId="00A3F1AB" w:rsidR="00AA717E" w:rsidRDefault="00AA717E" w:rsidP="00AD5EF6">
      <w:pPr>
        <w:spacing w:after="0" w:line="240" w:lineRule="auto"/>
        <w:contextualSpacing/>
        <w:jc w:val="both"/>
        <w:rPr>
          <w:rFonts w:ascii="Arial" w:hAnsi="Arial" w:cs="Arial"/>
          <w:lang w:val="en-US"/>
        </w:rPr>
      </w:pPr>
      <w:r>
        <w:rPr>
          <w:rFonts w:ascii="Arial" w:hAnsi="Arial" w:cs="Arial"/>
          <w:lang w:val="en-US"/>
        </w:rPr>
        <w:t>3) to send the relevant information on the decisions taken to the Supreme Guardian of the Central Asia Climate Foundation.</w:t>
      </w:r>
    </w:p>
    <w:p w14:paraId="78DAE584" w14:textId="77777777" w:rsidR="00AA717E" w:rsidRPr="004B0FF9" w:rsidRDefault="00AA717E"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154325"/>
    <w:rsid w:val="002E5C42"/>
    <w:rsid w:val="00336D49"/>
    <w:rsid w:val="00392202"/>
    <w:rsid w:val="004308D3"/>
    <w:rsid w:val="004A557F"/>
    <w:rsid w:val="004B0FF9"/>
    <w:rsid w:val="004E46FF"/>
    <w:rsid w:val="00532462"/>
    <w:rsid w:val="005F4683"/>
    <w:rsid w:val="006E0FC9"/>
    <w:rsid w:val="0071406D"/>
    <w:rsid w:val="007E4E52"/>
    <w:rsid w:val="0086605B"/>
    <w:rsid w:val="008E30AE"/>
    <w:rsid w:val="00930297"/>
    <w:rsid w:val="0099340F"/>
    <w:rsid w:val="00997CDA"/>
    <w:rsid w:val="009A7496"/>
    <w:rsid w:val="009E47F5"/>
    <w:rsid w:val="00AA717E"/>
    <w:rsid w:val="00AC571B"/>
    <w:rsid w:val="00AD5EF6"/>
    <w:rsid w:val="00AF43BA"/>
    <w:rsid w:val="00C707E5"/>
    <w:rsid w:val="00D27C8D"/>
    <w:rsid w:val="00D567D4"/>
    <w:rsid w:val="00EB2BB8"/>
    <w:rsid w:val="00EF2AAB"/>
    <w:rsid w:val="00F374E2"/>
    <w:rsid w:val="00FD7A8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B35A6-A24F-456F-AAC5-BBD6148F4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1356</Words>
  <Characters>8592</Characters>
  <Application>Microsoft Office Word</Application>
  <DocSecurity>0</DocSecurity>
  <Lines>233</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9884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14</cp:revision>
  <cp:lastPrinted>2026-09-28T12:10:00Z</cp:lastPrinted>
  <dcterms:created xsi:type="dcterms:W3CDTF">2026-07-16T08:07:00Z</dcterms:created>
  <dcterms:modified xsi:type="dcterms:W3CDTF">2026-10-14T06:21:00Z</dcterms:modified>
  <dc:language>en-US</dc:language>
</cp:coreProperties>
</file>