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217941E" w14:textId="77777777" w:rsidR="00A9457F" w:rsidRPr="00A9457F" w:rsidRDefault="00A9457F" w:rsidP="00A9457F">
      <w:pPr>
        <w:spacing w:after="0" w:line="240" w:lineRule="auto"/>
        <w:jc w:val="right"/>
        <w:rPr>
          <w:rFonts w:ascii="Times New Roman" w:hAnsi="Times New Roman" w:cs="Times New Roman"/>
          <w:b/>
          <w:sz w:val="24"/>
          <w:szCs w:val="24"/>
          <w:lang w:val="en-GB"/>
        </w:rPr>
      </w:pPr>
      <w:bookmarkStart w:id="0" w:name="_GoBack"/>
      <w:bookmarkEnd w:id="0"/>
      <w:r w:rsidRPr="00A9457F">
        <w:rPr>
          <w:rFonts w:ascii="Times New Roman" w:hAnsi="Times New Roman" w:cs="Times New Roman"/>
          <w:b/>
          <w:sz w:val="24"/>
          <w:szCs w:val="24"/>
          <w:lang w:val="en-GB"/>
        </w:rPr>
        <w:t>DRAFT</w:t>
      </w:r>
    </w:p>
    <w:p w14:paraId="098D1005"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0461B19E"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APPROVED</w:t>
      </w:r>
    </w:p>
    <w:p w14:paraId="7DBB53E5"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by decision of the Management Council</w:t>
      </w:r>
    </w:p>
    <w:p w14:paraId="73F25DBF"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of the Central Asia Climate Foundation</w:t>
      </w:r>
    </w:p>
    <w:p w14:paraId="00F2E4A4"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(Minutes No. ___ dated «___» __________ 2026)</w:t>
      </w:r>
    </w:p>
    <w:p w14:paraId="2B01F2B8"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3B2D60E3" w14:textId="77777777" w:rsidR="00A9457F" w:rsidRPr="00A9457F" w:rsidRDefault="00A9457F" w:rsidP="00A9457F">
      <w:pPr>
        <w:spacing w:before="240" w:after="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REGULATIONS</w:t>
      </w:r>
    </w:p>
    <w:p w14:paraId="0441F2C1" w14:textId="77777777" w:rsidR="00A9457F" w:rsidRPr="00A9457F" w:rsidRDefault="00A9457F" w:rsidP="00A9457F">
      <w:pPr>
        <w:spacing w:after="24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on the Project Office «Taza Qazaqstan»</w:t>
      </w:r>
    </w:p>
    <w:p w14:paraId="71D29F10" w14:textId="36074196"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1. General Provisions</w:t>
      </w:r>
    </w:p>
    <w:p w14:paraId="7827DD4D" w14:textId="70B1F4C8"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1.1. The Project Office «Taza Qazaqstan» (hereinafter – the Project Office) is a structural unit of the Private Foundation «Central Asia Climate Foundation» (hereinafter – the Foundation) for the project, methodological and organisational support of the nationwide initiative «Taza Qazaqstan» (hereinafter – the initiative). It is included in the structure of the Foundation by decision of the Management Council of the Foundation (Minutes No. 13).</w:t>
      </w:r>
    </w:p>
    <w:p w14:paraId="4273C14F" w14:textId="06085EAC"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1.2. The Project Office is not a legal entity. Contracts, financial and other legally significant documents on behalf of the Foundation are signed by the Chief Executive Officer of the Foundation (hereinafter – the CEO) or a person authorised by power of attorney; the Head of the Project Office, as well as deputies and representatives appointed by him/her, may sign letters and requests on matters related to the tasks of the Project Office, except for financial and legal documents and acts. The Project Office is guided by the acts of the AIFC, the Charter, the By-laws and internal documents of the Foundation and these Regulations.</w:t>
      </w:r>
    </w:p>
    <w:p w14:paraId="3B05276F" w14:textId="14103C09"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2. Tasks</w:t>
      </w:r>
    </w:p>
    <w:p w14:paraId="06B22214" w14:textId="6A5289B4"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2.1. The tasks of the Project Office are: project management and coordination of the initiative with government bodies and regional akimats; sociological research and assessment of results against key performance indicators; the National Cleanliness Standard and «Tazalyq Indeksi»; the TAZA.KZ digital platform; a unified communication environment and involvement of youth, volunteers, business and society.</w:t>
      </w:r>
    </w:p>
    <w:p w14:paraId="088EBF06" w14:textId="1073443D"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3. Structure and Management</w:t>
      </w:r>
    </w:p>
    <w:p w14:paraId="733F1504" w14:textId="5BFE9C3E"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3.1. The Project Office consists of the Head of the Project Office (hereinafter – the Head), the Department of Project Management and Regional Coordination, the Department of Sociological Research and Analytics, the Department of Digital Development and the Communication and Creative Group. The staff number is determined by the staff schedule of the Foundation.</w:t>
      </w:r>
    </w:p>
    <w:p w14:paraId="58329C2C" w14:textId="704A71A6"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3.2. The Head is appointed and dismissed by order of the CEO and reports to the CEO. The Head organises and is responsible for the work of the Project Office, allocates duties, submits proposals to the CEO on the work plan, budget and personnel, and represents the Project Office within the powers granted by the CEO. During the absence of the Head, his/her duties are performed by an employee appointed by order of the CEO.</w:t>
      </w:r>
    </w:p>
    <w:p w14:paraId="0245311E" w14:textId="6AFECF45"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3.3. The Project Office operates under a work plan approved by the CEO within the budget of the Foundation.</w:t>
      </w:r>
    </w:p>
    <w:p w14:paraId="79B8BDBF" w14:textId="1E2CC94B"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4. Interaction, Financing and Reporting</w:t>
      </w:r>
    </w:p>
    <w:p w14:paraId="3BDB0B6B" w14:textId="1D1F835A"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4.1. The Ministry of Ecology and Natural Resources of the Republic of Kazakhstan sets the priorities of the initiative and coordinates government bodies; the Project Office implements the tasks of the initiative; the Foundation provides the organisational, legal and financial basis, methodology and attraction of extra-budgetary funds.</w:t>
      </w:r>
    </w:p>
    <w:p w14:paraId="39E8BE15" w14:textId="171AA357"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4.2. The activities of the Project Office are financed within the budget of the Foundation, mainly from sponsorship and other extra-budgetary funds; funds for the initiative are accounted for separately. Procurement is carried out under the Procurement Rules of the Foundation.</w:t>
      </w:r>
    </w:p>
    <w:p w14:paraId="3098FCB9" w14:textId="1DC4D5A7"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4.3. The Head reports quarterly to the CEO on the work and key indicators; the annual report is included in the annual report of the Foundation. Reporting to the Ministry and sources of financing is made as provided for by the relevant agreements.</w:t>
      </w:r>
    </w:p>
    <w:p w14:paraId="3048886C" w14:textId="2D81234A"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5. Final Provisions</w:t>
      </w:r>
    </w:p>
    <w:p w14:paraId="1473D093" w14:textId="5B4A0107" w:rsidR="00657A6D" w:rsidRPr="00BD5DED" w:rsidRDefault="009350E5" w:rsidP="009350E5">
      <w:pPr>
        <w:spacing w:after="60" w:line="240" w:lineRule="auto"/>
        <w:ind w:firstLine="708"/>
        <w:jc w:val="both"/>
        <w:rPr>
          <w:rFonts w:ascii="Times New Roman" w:hAnsi="Times New Roman" w:cs="Times New Roman"/>
          <w:sz w:val="21"/>
          <w:lang w:val="en-GB"/>
        </w:rPr>
      </w:pPr>
      <w:r>
        <w:rPr>
          <w:rFonts w:ascii="Times New Roman" w:hAnsi="Times New Roman" w:cs="Times New Roman"/>
          <w:sz w:val="21"/>
          <w:szCs w:val="24"/>
          <w:lang w:val="en-GB"/>
        </w:rPr>
        <w:t>5.1. These Regulations and amendments thereto are approved by the Management Council of the Foundation, which also decides on the reorganisation or abolition of the Project Office.</w:t>
      </w:r>
      <w:r w:rsidR="00D4052C" w:rsidRPr="00BD5DED">
        <w:rPr>
          <w:rFonts w:ascii="Times New Roman" w:hAnsi="Times New Roman" w:cs="Times New Roman"/>
          <w:sz w:val="21"/>
          <w:lang w:val="en-GB"/>
        </w:rPr>
        <w:t xml:space="preserve"> </w:t>
      </w:r>
    </w:p>
    <w:sectPr w:rsidR="00657A6D" w:rsidRPr="00BD5DED" w:rsidSect="00A9457F">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20028D"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35554F0E" w14:textId="77777777" w:rsidR="00A9457F" w:rsidRDefault="00A9457F">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0ECB77"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9350E5">
      <w:rPr>
        <w:rStyle w:val="ab"/>
        <w:noProof/>
      </w:rPr>
      <w:t>1</w:t>
    </w:r>
    <w:r>
      <w:rPr>
        <w:rStyle w:val="ab"/>
      </w:rPr>
      <w:fldChar w:fldCharType="end"/>
    </w:r>
  </w:p>
  <w:p w14:paraId="71A4E01D" w14:textId="77777777" w:rsidR="00A9457F" w:rsidRDefault="00A9457F">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2ECDA5" w14:textId="77777777" w:rsidR="00A9457F" w:rsidRDefault="00A9457F">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58C884" w14:textId="77777777" w:rsidR="00A9457F" w:rsidRDefault="00A9457F">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34FA58" w14:textId="77777777" w:rsidR="00A9457F" w:rsidRDefault="00A9457F">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993991" w14:textId="77777777" w:rsidR="00A9457F" w:rsidRDefault="00A9457F">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B063D"/>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350E5"/>
    <w:rsid w:val="0095069A"/>
    <w:rsid w:val="00956A4B"/>
    <w:rsid w:val="009D6A80"/>
    <w:rsid w:val="009F09DB"/>
    <w:rsid w:val="009F19B6"/>
    <w:rsid w:val="009F1CD8"/>
    <w:rsid w:val="00A021B6"/>
    <w:rsid w:val="00A07710"/>
    <w:rsid w:val="00A26175"/>
    <w:rsid w:val="00A47179"/>
    <w:rsid w:val="00A9457F"/>
    <w:rsid w:val="00AB72E4"/>
    <w:rsid w:val="00AE09EF"/>
    <w:rsid w:val="00B81B6F"/>
    <w:rsid w:val="00BB15DA"/>
    <w:rsid w:val="00BC6766"/>
    <w:rsid w:val="00BD5DED"/>
    <w:rsid w:val="00BF704F"/>
    <w:rsid w:val="00C07369"/>
    <w:rsid w:val="00C40A05"/>
    <w:rsid w:val="00C6405E"/>
    <w:rsid w:val="00C90711"/>
    <w:rsid w:val="00CA283F"/>
    <w:rsid w:val="00CA3F36"/>
    <w:rsid w:val="00D33A6A"/>
    <w:rsid w:val="00D4052C"/>
    <w:rsid w:val="00D52FEE"/>
    <w:rsid w:val="00DA30BF"/>
    <w:rsid w:val="00DB09E5"/>
    <w:rsid w:val="00DB7E48"/>
    <w:rsid w:val="00DD04F7"/>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A94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570</Words>
  <Characters>3169</Characters>
  <Application>Microsoft Office Word</Application>
  <DocSecurity>0</DocSecurity>
  <Lines>51</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3723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55</cp:revision>
  <cp:lastPrinted>2026-09-28T12:28:00Z</cp:lastPrinted>
  <dcterms:created xsi:type="dcterms:W3CDTF">2024-04-22T06:36:00Z</dcterms:created>
  <dcterms:modified xsi:type="dcterms:W3CDTF">2026-10-29T11:21:00Z</dcterms:modified>
</cp:coreProperties>
</file>