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83CBE92" w14:textId="77777777" w:rsidR="00FB20FA" w:rsidRPr="00FB20FA" w:rsidRDefault="00FB20FA" w:rsidP="00FB20FA">
      <w:pPr>
        <w:spacing w:after="0" w:line="240" w:lineRule="auto"/>
        <w:jc w:val="right"/>
        <w:rPr>
          <w:rFonts w:ascii="Times New Roman" w:hAnsi="Times New Roman" w:cs="Times New Roman"/>
          <w:b/>
          <w:sz w:val="24"/>
          <w:szCs w:val="24"/>
          <w:lang w:val="en-GB"/>
        </w:rPr>
      </w:pPr>
      <w:bookmarkStart w:id="0" w:name="_GoBack"/>
      <w:bookmarkEnd w:id="0"/>
      <w:r w:rsidRPr="00FB20FA">
        <w:rPr>
          <w:rFonts w:ascii="Times New Roman" w:hAnsi="Times New Roman" w:cs="Times New Roman"/>
          <w:b/>
          <w:sz w:val="24"/>
          <w:szCs w:val="24"/>
          <w:lang w:val="en-GB"/>
        </w:rPr>
        <w:t>DRAFT</w:t>
      </w:r>
    </w:p>
    <w:p w14:paraId="6E87DE9E" w14:textId="77777777" w:rsidR="00FB20FA" w:rsidRPr="00FB20FA" w:rsidRDefault="00FB20FA" w:rsidP="00FB20FA">
      <w:pPr>
        <w:spacing w:after="0" w:line="240" w:lineRule="auto"/>
        <w:jc w:val="right"/>
        <w:rPr>
          <w:rFonts w:ascii="Times New Roman" w:hAnsi="Times New Roman" w:cs="Times New Roman"/>
          <w:sz w:val="24"/>
          <w:szCs w:val="24"/>
          <w:lang w:val="en-GB"/>
        </w:rPr>
      </w:pPr>
    </w:p>
    <w:p w14:paraId="207366D1" w14:textId="77777777" w:rsidR="00FB20FA" w:rsidRPr="00FB20FA" w:rsidRDefault="00FB20FA" w:rsidP="00FB20FA">
      <w:pPr>
        <w:spacing w:after="0" w:line="240" w:lineRule="auto"/>
        <w:jc w:val="right"/>
        <w:rPr>
          <w:rFonts w:ascii="Times New Roman" w:hAnsi="Times New Roman" w:cs="Times New Roman"/>
          <w:sz w:val="24"/>
          <w:szCs w:val="24"/>
          <w:lang w:val="en-GB"/>
        </w:rPr>
      </w:pPr>
      <w:r w:rsidRPr="00FB20FA">
        <w:rPr>
          <w:rFonts w:ascii="Times New Roman" w:hAnsi="Times New Roman" w:cs="Times New Roman"/>
          <w:sz w:val="24"/>
          <w:szCs w:val="24"/>
          <w:lang w:val="en-GB"/>
        </w:rPr>
        <w:t>APPROVED</w:t>
      </w:r>
    </w:p>
    <w:p w14:paraId="4EC32E69" w14:textId="77777777" w:rsidR="00FB20FA" w:rsidRPr="00FB20FA" w:rsidRDefault="00FB20FA" w:rsidP="00FB20FA">
      <w:pPr>
        <w:spacing w:after="0" w:line="240" w:lineRule="auto"/>
        <w:jc w:val="right"/>
        <w:rPr>
          <w:rFonts w:ascii="Times New Roman" w:hAnsi="Times New Roman" w:cs="Times New Roman"/>
          <w:sz w:val="24"/>
          <w:szCs w:val="24"/>
          <w:lang w:val="en-GB"/>
        </w:rPr>
      </w:pPr>
      <w:r w:rsidRPr="00FB20FA">
        <w:rPr>
          <w:rFonts w:ascii="Times New Roman" w:hAnsi="Times New Roman" w:cs="Times New Roman"/>
          <w:sz w:val="24"/>
          <w:szCs w:val="24"/>
          <w:lang w:val="en-GB"/>
        </w:rPr>
        <w:t>by decision of the Management Council</w:t>
      </w:r>
    </w:p>
    <w:p w14:paraId="755ACF0B" w14:textId="77777777" w:rsidR="00FB20FA" w:rsidRPr="00FB20FA" w:rsidRDefault="00FB20FA" w:rsidP="00FB20FA">
      <w:pPr>
        <w:spacing w:after="0" w:line="240" w:lineRule="auto"/>
        <w:jc w:val="right"/>
        <w:rPr>
          <w:rFonts w:ascii="Times New Roman" w:hAnsi="Times New Roman" w:cs="Times New Roman"/>
          <w:sz w:val="24"/>
          <w:szCs w:val="24"/>
          <w:lang w:val="en-GB"/>
        </w:rPr>
      </w:pPr>
      <w:r w:rsidRPr="00FB20FA">
        <w:rPr>
          <w:rFonts w:ascii="Times New Roman" w:hAnsi="Times New Roman" w:cs="Times New Roman"/>
          <w:sz w:val="24"/>
          <w:szCs w:val="24"/>
          <w:lang w:val="en-GB"/>
        </w:rPr>
        <w:t>of the Central Asia Climate Foundation</w:t>
      </w:r>
    </w:p>
    <w:p w14:paraId="3A641FB5" w14:textId="3F131BB1" w:rsidR="00FB20FA" w:rsidRPr="00FB20FA" w:rsidRDefault="00666447" w:rsidP="00FB20FA">
      <w:pPr>
        <w:spacing w:after="0" w:line="240" w:lineRule="auto"/>
        <w:jc w:val="right"/>
        <w:rPr>
          <w:rFonts w:ascii="Times New Roman" w:hAnsi="Times New Roman" w:cs="Times New Roman"/>
          <w:sz w:val="24"/>
          <w:szCs w:val="24"/>
          <w:lang w:val="en-GB"/>
        </w:rPr>
      </w:pPr>
      <w:r>
        <w:rPr>
          <w:rFonts w:ascii="Times New Roman" w:hAnsi="Times New Roman" w:cs="Times New Roman"/>
          <w:sz w:val="24"/>
          <w:szCs w:val="24"/>
          <w:lang w:val="en-GB"/>
        </w:rPr>
        <w:t>(Minutes No. 13 dated 30 October 2026)</w:t>
      </w:r>
    </w:p>
    <w:p w14:paraId="4CF03B73" w14:textId="77777777" w:rsidR="00FB20FA" w:rsidRPr="00FB20FA" w:rsidRDefault="00FB20FA" w:rsidP="00FB20FA">
      <w:pPr>
        <w:spacing w:after="0" w:line="240" w:lineRule="auto"/>
        <w:jc w:val="right"/>
        <w:rPr>
          <w:rFonts w:ascii="Times New Roman" w:hAnsi="Times New Roman" w:cs="Times New Roman"/>
          <w:sz w:val="24"/>
          <w:szCs w:val="24"/>
          <w:lang w:val="en-GB"/>
        </w:rPr>
      </w:pPr>
    </w:p>
    <w:p w14:paraId="3635095F" w14:textId="77777777" w:rsidR="00FB20FA" w:rsidRPr="00FB20FA" w:rsidRDefault="00FB20FA" w:rsidP="00FB20FA">
      <w:pPr>
        <w:spacing w:before="240" w:after="0" w:line="240" w:lineRule="auto"/>
        <w:jc w:val="center"/>
        <w:rPr>
          <w:rFonts w:ascii="Times New Roman" w:hAnsi="Times New Roman" w:cs="Times New Roman"/>
          <w:b/>
          <w:sz w:val="24"/>
          <w:szCs w:val="24"/>
          <w:lang w:val="en-GB"/>
        </w:rPr>
      </w:pPr>
      <w:r w:rsidRPr="00FB20FA">
        <w:rPr>
          <w:rFonts w:ascii="Times New Roman" w:hAnsi="Times New Roman" w:cs="Times New Roman"/>
          <w:b/>
          <w:sz w:val="24"/>
          <w:szCs w:val="24"/>
          <w:lang w:val="en-GB"/>
        </w:rPr>
        <w:t>REGULATIONS</w:t>
      </w:r>
    </w:p>
    <w:p w14:paraId="6719C1E4" w14:textId="77777777" w:rsidR="00FB20FA" w:rsidRPr="00FB20FA" w:rsidRDefault="00FB20FA" w:rsidP="00FB20FA">
      <w:pPr>
        <w:spacing w:after="240" w:line="240" w:lineRule="auto"/>
        <w:jc w:val="center"/>
        <w:rPr>
          <w:rFonts w:ascii="Times New Roman" w:hAnsi="Times New Roman" w:cs="Times New Roman"/>
          <w:b/>
          <w:sz w:val="24"/>
          <w:szCs w:val="24"/>
          <w:lang w:val="en-GB"/>
        </w:rPr>
      </w:pPr>
      <w:r w:rsidRPr="00FB20FA">
        <w:rPr>
          <w:rFonts w:ascii="Times New Roman" w:hAnsi="Times New Roman" w:cs="Times New Roman"/>
          <w:b/>
          <w:sz w:val="24"/>
          <w:szCs w:val="24"/>
          <w:lang w:val="en-GB"/>
        </w:rPr>
        <w:t>on the Training Centre</w:t>
      </w:r>
    </w:p>
    <w:p w14:paraId="7687BD7C" w14:textId="6FEF4D3D" w:rsidR="005136F2" w:rsidRPr="005136F2" w:rsidRDefault="005136F2" w:rsidP="005136F2">
      <w:pPr>
        <w:keepNext/>
        <w:spacing w:after="60" w:line="240" w:lineRule="auto"/>
        <w:jc w:val="center"/>
        <w:rPr>
          <w:rFonts w:ascii="Times New Roman" w:hAnsi="Times New Roman" w:cs="Times New Roman"/>
          <w:b/>
          <w:sz w:val="21"/>
          <w:szCs w:val="24"/>
          <w:lang w:val="en-GB"/>
        </w:rPr>
      </w:pPr>
      <w:r w:rsidRPr="005136F2">
        <w:rPr>
          <w:rFonts w:ascii="Times New Roman" w:hAnsi="Times New Roman" w:cs="Times New Roman"/>
          <w:b/>
          <w:sz w:val="21"/>
          <w:szCs w:val="24"/>
          <w:lang w:val="en-GB"/>
        </w:rPr>
        <w:t>1. General Provisions</w:t>
      </w:r>
    </w:p>
    <w:p w14:paraId="3AE185A3" w14:textId="68887EFB" w:rsidR="005136F2" w:rsidRPr="005136F2" w:rsidRDefault="005136F2" w:rsidP="005136F2">
      <w:pPr>
        <w:spacing w:after="60" w:line="240" w:lineRule="auto"/>
        <w:ind w:firstLine="708"/>
        <w:jc w:val="both"/>
        <w:rPr>
          <w:rFonts w:ascii="Times New Roman" w:hAnsi="Times New Roman" w:cs="Times New Roman"/>
          <w:sz w:val="21"/>
          <w:szCs w:val="24"/>
          <w:lang w:val="en-GB"/>
        </w:rPr>
      </w:pPr>
      <w:r w:rsidRPr="005136F2">
        <w:rPr>
          <w:rFonts w:ascii="Times New Roman" w:hAnsi="Times New Roman" w:cs="Times New Roman"/>
          <w:sz w:val="21"/>
          <w:szCs w:val="24"/>
          <w:lang w:val="en-GB"/>
        </w:rPr>
        <w:t>1.1. The Training Centre is a structural unit of the Private Foundation «Central Asia Climate Foundation» (hereinafter – the Foundation) for the training, professional development and capacity building of specialists in environmental protection, climate change, sustainable development and ESG. It is included in the structure of the Foundation by decision of the Management Council of the Foundation (Minutes No. 12 dated 30 July 2026).</w:t>
      </w:r>
    </w:p>
    <w:p w14:paraId="5962659E" w14:textId="18D0D999" w:rsidR="005136F2" w:rsidRPr="005136F2" w:rsidRDefault="005136F2" w:rsidP="005136F2">
      <w:pPr>
        <w:spacing w:after="60" w:line="240" w:lineRule="auto"/>
        <w:ind w:firstLine="708"/>
        <w:jc w:val="both"/>
        <w:rPr>
          <w:rFonts w:ascii="Times New Roman" w:hAnsi="Times New Roman" w:cs="Times New Roman"/>
          <w:sz w:val="21"/>
          <w:szCs w:val="24"/>
          <w:lang w:val="en-GB"/>
        </w:rPr>
      </w:pPr>
      <w:r w:rsidRPr="005136F2">
        <w:rPr>
          <w:rFonts w:ascii="Times New Roman" w:hAnsi="Times New Roman" w:cs="Times New Roman"/>
          <w:sz w:val="21"/>
          <w:szCs w:val="24"/>
          <w:lang w:val="en-GB"/>
        </w:rPr>
        <w:t>1.2. The Training Centre is not a legal entity. Contracts for educational services, financial and other legally significant documents on behalf of the Foundation are signed by the Chief Executive Officer of the Foundation (hereinafter – the CEO) or a person authorised by power of attorney.</w:t>
      </w:r>
    </w:p>
    <w:p w14:paraId="57C7A492" w14:textId="4DF3549A" w:rsidR="005136F2" w:rsidRPr="005136F2" w:rsidRDefault="005136F2" w:rsidP="005136F2">
      <w:pPr>
        <w:keepNext/>
        <w:spacing w:after="60" w:line="240" w:lineRule="auto"/>
        <w:jc w:val="center"/>
        <w:rPr>
          <w:rFonts w:ascii="Times New Roman" w:hAnsi="Times New Roman" w:cs="Times New Roman"/>
          <w:b/>
          <w:sz w:val="21"/>
          <w:szCs w:val="24"/>
          <w:lang w:val="en-GB"/>
        </w:rPr>
      </w:pPr>
      <w:r w:rsidRPr="005136F2">
        <w:rPr>
          <w:rFonts w:ascii="Times New Roman" w:hAnsi="Times New Roman" w:cs="Times New Roman"/>
          <w:b/>
          <w:sz w:val="21"/>
          <w:szCs w:val="24"/>
          <w:lang w:val="en-GB"/>
        </w:rPr>
        <w:t>2. Tasks and Areas</w:t>
      </w:r>
    </w:p>
    <w:p w14:paraId="53F2411C" w14:textId="5FC3FF58" w:rsidR="005136F2" w:rsidRPr="005136F2" w:rsidRDefault="005136F2" w:rsidP="005136F2">
      <w:pPr>
        <w:spacing w:after="60" w:line="240" w:lineRule="auto"/>
        <w:ind w:firstLine="708"/>
        <w:jc w:val="both"/>
        <w:rPr>
          <w:rFonts w:ascii="Times New Roman" w:hAnsi="Times New Roman" w:cs="Times New Roman"/>
          <w:sz w:val="21"/>
          <w:szCs w:val="24"/>
          <w:lang w:val="en-GB"/>
        </w:rPr>
      </w:pPr>
      <w:r w:rsidRPr="005136F2">
        <w:rPr>
          <w:rFonts w:ascii="Times New Roman" w:hAnsi="Times New Roman" w:cs="Times New Roman"/>
          <w:sz w:val="21"/>
          <w:szCs w:val="24"/>
          <w:lang w:val="en-GB"/>
        </w:rPr>
        <w:t>2.1. Tasks: development and implementation of educational programmes, courses and trainings; professional development of employees of government bodies, akimats, business and non-governmental organisations; dissemination of international standards and best practices; educational outreach to young people, including within the «Taza Qazaqstan» initiative; training materials in the Kazakh, Russian and English languages.</w:t>
      </w:r>
    </w:p>
    <w:p w14:paraId="75C15702" w14:textId="000E0CFA" w:rsidR="005136F2" w:rsidRPr="005136F2" w:rsidRDefault="005136F2" w:rsidP="005136F2">
      <w:pPr>
        <w:spacing w:after="60" w:line="240" w:lineRule="auto"/>
        <w:ind w:firstLine="708"/>
        <w:jc w:val="both"/>
        <w:rPr>
          <w:rFonts w:ascii="Times New Roman" w:hAnsi="Times New Roman" w:cs="Times New Roman"/>
          <w:sz w:val="21"/>
          <w:szCs w:val="24"/>
          <w:lang w:val="en-GB"/>
        </w:rPr>
      </w:pPr>
      <w:r w:rsidRPr="005136F2">
        <w:rPr>
          <w:rFonts w:ascii="Times New Roman" w:hAnsi="Times New Roman" w:cs="Times New Roman"/>
          <w:sz w:val="21"/>
          <w:szCs w:val="24"/>
          <w:lang w:val="en-GB"/>
        </w:rPr>
        <w:t>2.2. Areas: climate change and adaptation; sustainable development and ESG; assessment of climate and environmental risks; climate finance, carbon markets and offsets; waste, air, water and land; green energy and energy efficiency; environmental culture.</w:t>
      </w:r>
    </w:p>
    <w:p w14:paraId="49C7A1EF" w14:textId="2288237E" w:rsidR="005136F2" w:rsidRPr="005136F2" w:rsidRDefault="005136F2" w:rsidP="005136F2">
      <w:pPr>
        <w:keepNext/>
        <w:spacing w:after="60" w:line="240" w:lineRule="auto"/>
        <w:jc w:val="center"/>
        <w:rPr>
          <w:rFonts w:ascii="Times New Roman" w:hAnsi="Times New Roman" w:cs="Times New Roman"/>
          <w:b/>
          <w:sz w:val="21"/>
          <w:szCs w:val="24"/>
          <w:lang w:val="en-GB"/>
        </w:rPr>
      </w:pPr>
      <w:r w:rsidRPr="005136F2">
        <w:rPr>
          <w:rFonts w:ascii="Times New Roman" w:hAnsi="Times New Roman" w:cs="Times New Roman"/>
          <w:b/>
          <w:sz w:val="21"/>
          <w:szCs w:val="24"/>
          <w:lang w:val="en-GB"/>
        </w:rPr>
        <w:t>3. Organisation of Training</w:t>
      </w:r>
    </w:p>
    <w:p w14:paraId="66392D70" w14:textId="196F3840" w:rsidR="005136F2" w:rsidRPr="005136F2" w:rsidRDefault="005136F2" w:rsidP="005136F2">
      <w:pPr>
        <w:spacing w:after="60" w:line="240" w:lineRule="auto"/>
        <w:ind w:firstLine="708"/>
        <w:jc w:val="both"/>
        <w:rPr>
          <w:rFonts w:ascii="Times New Roman" w:hAnsi="Times New Roman" w:cs="Times New Roman"/>
          <w:sz w:val="21"/>
          <w:szCs w:val="24"/>
          <w:lang w:val="en-GB"/>
        </w:rPr>
      </w:pPr>
      <w:r w:rsidRPr="005136F2">
        <w:rPr>
          <w:rFonts w:ascii="Times New Roman" w:hAnsi="Times New Roman" w:cs="Times New Roman"/>
          <w:sz w:val="21"/>
          <w:szCs w:val="24"/>
          <w:lang w:val="en-GB"/>
        </w:rPr>
        <w:t>3.1. Forms of training are courses, seminars, trainings, webinars, internships, schools and corporate programmes, on-site, remote and blended. Programmes, their scope and cost are approved by the CEO. Employees of the Foundation, members of the Expert Council, university lecturers and experts under contracts are engaged for teaching. Participants receive a certificate of the Foundation.</w:t>
      </w:r>
    </w:p>
    <w:p w14:paraId="1F2A7CC3" w14:textId="0C03CFF2" w:rsidR="005136F2" w:rsidRPr="005136F2" w:rsidRDefault="005136F2" w:rsidP="005136F2">
      <w:pPr>
        <w:spacing w:after="60" w:line="240" w:lineRule="auto"/>
        <w:ind w:firstLine="708"/>
        <w:jc w:val="both"/>
        <w:rPr>
          <w:rFonts w:ascii="Times New Roman" w:hAnsi="Times New Roman" w:cs="Times New Roman"/>
          <w:sz w:val="21"/>
          <w:szCs w:val="24"/>
          <w:lang w:val="en-GB"/>
        </w:rPr>
      </w:pPr>
      <w:r w:rsidRPr="005136F2">
        <w:rPr>
          <w:rFonts w:ascii="Times New Roman" w:hAnsi="Times New Roman" w:cs="Times New Roman"/>
          <w:sz w:val="21"/>
          <w:szCs w:val="24"/>
          <w:lang w:val="en-GB"/>
        </w:rPr>
        <w:t>3.2. The Training Centre interacts with universities, research and international organisations and partners of the Foundation, including under memoranda of cooperation.</w:t>
      </w:r>
    </w:p>
    <w:p w14:paraId="726578B8" w14:textId="3FE19420" w:rsidR="005136F2" w:rsidRPr="005136F2" w:rsidRDefault="005136F2" w:rsidP="005136F2">
      <w:pPr>
        <w:keepNext/>
        <w:spacing w:after="60" w:line="240" w:lineRule="auto"/>
        <w:jc w:val="center"/>
        <w:rPr>
          <w:rFonts w:ascii="Times New Roman" w:hAnsi="Times New Roman" w:cs="Times New Roman"/>
          <w:b/>
          <w:sz w:val="21"/>
          <w:szCs w:val="24"/>
          <w:lang w:val="en-GB"/>
        </w:rPr>
      </w:pPr>
      <w:r w:rsidRPr="005136F2">
        <w:rPr>
          <w:rFonts w:ascii="Times New Roman" w:hAnsi="Times New Roman" w:cs="Times New Roman"/>
          <w:b/>
          <w:sz w:val="21"/>
          <w:szCs w:val="24"/>
          <w:lang w:val="en-GB"/>
        </w:rPr>
        <w:t>4. Management</w:t>
      </w:r>
    </w:p>
    <w:p w14:paraId="2F1318A2" w14:textId="70FFF122" w:rsidR="005136F2" w:rsidRPr="005136F2" w:rsidRDefault="005136F2" w:rsidP="005136F2">
      <w:pPr>
        <w:spacing w:after="60" w:line="240" w:lineRule="auto"/>
        <w:ind w:firstLine="708"/>
        <w:jc w:val="both"/>
        <w:rPr>
          <w:rFonts w:ascii="Times New Roman" w:hAnsi="Times New Roman" w:cs="Times New Roman"/>
          <w:sz w:val="21"/>
          <w:szCs w:val="24"/>
          <w:lang w:val="en-GB"/>
        </w:rPr>
      </w:pPr>
      <w:r w:rsidRPr="005136F2">
        <w:rPr>
          <w:rFonts w:ascii="Times New Roman" w:hAnsi="Times New Roman" w:cs="Times New Roman"/>
          <w:sz w:val="21"/>
          <w:szCs w:val="24"/>
          <w:lang w:val="en-GB"/>
        </w:rPr>
        <w:t>4.1. The management of the Training Centre is determined by decision of the Management Council of the Foundation. The activities of the Training Centre are supervised by the Deputy CEO for Administrative Issues.</w:t>
      </w:r>
    </w:p>
    <w:p w14:paraId="1CE3ED3C" w14:textId="72364036" w:rsidR="005136F2" w:rsidRPr="005136F2" w:rsidRDefault="005136F2" w:rsidP="005136F2">
      <w:pPr>
        <w:spacing w:after="60" w:line="240" w:lineRule="auto"/>
        <w:ind w:firstLine="708"/>
        <w:jc w:val="both"/>
        <w:rPr>
          <w:rFonts w:ascii="Times New Roman" w:hAnsi="Times New Roman" w:cs="Times New Roman"/>
          <w:sz w:val="21"/>
          <w:szCs w:val="24"/>
          <w:lang w:val="en-GB"/>
        </w:rPr>
      </w:pPr>
      <w:r w:rsidRPr="005136F2">
        <w:rPr>
          <w:rFonts w:ascii="Times New Roman" w:hAnsi="Times New Roman" w:cs="Times New Roman"/>
          <w:sz w:val="21"/>
          <w:szCs w:val="24"/>
          <w:lang w:val="en-GB"/>
        </w:rPr>
        <w:t>4.2. The Head of the Training Centre plans and organises the training process, submits proposals on programmes, budget and lecturers. The Head of the Training Centre, as well as deputies and representatives appointed by him/her, may sign letters and requests on matters related to the tasks of the Training Centre, except for financial and legal documents and acts.</w:t>
      </w:r>
    </w:p>
    <w:p w14:paraId="0E1A9966" w14:textId="7B6D9ED7" w:rsidR="005136F2" w:rsidRPr="005136F2" w:rsidRDefault="005136F2" w:rsidP="005136F2">
      <w:pPr>
        <w:keepNext/>
        <w:spacing w:after="60" w:line="240" w:lineRule="auto"/>
        <w:jc w:val="center"/>
        <w:rPr>
          <w:rFonts w:ascii="Times New Roman" w:hAnsi="Times New Roman" w:cs="Times New Roman"/>
          <w:b/>
          <w:sz w:val="21"/>
          <w:szCs w:val="24"/>
          <w:lang w:val="en-GB"/>
        </w:rPr>
      </w:pPr>
      <w:r w:rsidRPr="005136F2">
        <w:rPr>
          <w:rFonts w:ascii="Times New Roman" w:hAnsi="Times New Roman" w:cs="Times New Roman"/>
          <w:b/>
          <w:sz w:val="21"/>
          <w:szCs w:val="24"/>
          <w:lang w:val="en-GB"/>
        </w:rPr>
        <w:t>5. Financing and Reporting</w:t>
      </w:r>
    </w:p>
    <w:p w14:paraId="65FDD784" w14:textId="153846A1" w:rsidR="005136F2" w:rsidRPr="005136F2" w:rsidRDefault="005136F2" w:rsidP="005136F2">
      <w:pPr>
        <w:spacing w:after="60" w:line="240" w:lineRule="auto"/>
        <w:ind w:firstLine="708"/>
        <w:jc w:val="both"/>
        <w:rPr>
          <w:rFonts w:ascii="Times New Roman" w:hAnsi="Times New Roman" w:cs="Times New Roman"/>
          <w:sz w:val="21"/>
          <w:szCs w:val="24"/>
          <w:lang w:val="en-GB"/>
        </w:rPr>
      </w:pPr>
      <w:r w:rsidRPr="005136F2">
        <w:rPr>
          <w:rFonts w:ascii="Times New Roman" w:hAnsi="Times New Roman" w:cs="Times New Roman"/>
          <w:sz w:val="21"/>
          <w:szCs w:val="24"/>
          <w:lang w:val="en-GB"/>
        </w:rPr>
        <w:t>5.1. The activities of the Training Centre are financed within the budget of the Foundation from the funds of the Foundation, grants, sponsorship and income from educational services. Educational services are an activity ancillary to the objects of the Foundation; income from them is used only for the objects of the Foundation.</w:t>
      </w:r>
    </w:p>
    <w:p w14:paraId="61E342CF" w14:textId="60E1C80A" w:rsidR="005136F2" w:rsidRPr="005136F2" w:rsidRDefault="005136F2" w:rsidP="005136F2">
      <w:pPr>
        <w:spacing w:after="60" w:line="240" w:lineRule="auto"/>
        <w:ind w:firstLine="708"/>
        <w:jc w:val="both"/>
        <w:rPr>
          <w:rFonts w:ascii="Times New Roman" w:hAnsi="Times New Roman" w:cs="Times New Roman"/>
          <w:sz w:val="21"/>
          <w:szCs w:val="24"/>
          <w:lang w:val="en-GB"/>
        </w:rPr>
      </w:pPr>
      <w:r w:rsidRPr="005136F2">
        <w:rPr>
          <w:rFonts w:ascii="Times New Roman" w:hAnsi="Times New Roman" w:cs="Times New Roman"/>
          <w:sz w:val="21"/>
          <w:szCs w:val="24"/>
          <w:lang w:val="en-GB"/>
        </w:rPr>
        <w:t>5.2. A report on the activities of the Training Centre is submitted to the supervisor quarterly; the annual report is included in the annual report of the Foundation.</w:t>
      </w:r>
    </w:p>
    <w:p w14:paraId="0F5E983F" w14:textId="0BDB6360" w:rsidR="005136F2" w:rsidRPr="005136F2" w:rsidRDefault="005136F2" w:rsidP="005136F2">
      <w:pPr>
        <w:keepNext/>
        <w:spacing w:after="60" w:line="240" w:lineRule="auto"/>
        <w:jc w:val="center"/>
        <w:rPr>
          <w:rFonts w:ascii="Times New Roman" w:hAnsi="Times New Roman" w:cs="Times New Roman"/>
          <w:b/>
          <w:sz w:val="21"/>
          <w:szCs w:val="24"/>
          <w:lang w:val="en-GB"/>
        </w:rPr>
      </w:pPr>
      <w:r w:rsidRPr="005136F2">
        <w:rPr>
          <w:rFonts w:ascii="Times New Roman" w:hAnsi="Times New Roman" w:cs="Times New Roman"/>
          <w:b/>
          <w:sz w:val="21"/>
          <w:szCs w:val="24"/>
          <w:lang w:val="en-GB"/>
        </w:rPr>
        <w:t>6. Final Provisions</w:t>
      </w:r>
    </w:p>
    <w:p w14:paraId="1473D093" w14:textId="3396C472" w:rsidR="00657A6D" w:rsidRPr="005136F2" w:rsidRDefault="005136F2" w:rsidP="005136F2">
      <w:pPr>
        <w:spacing w:after="60" w:line="240" w:lineRule="auto"/>
        <w:ind w:firstLine="708"/>
        <w:jc w:val="both"/>
        <w:rPr>
          <w:rFonts w:ascii="Times New Roman" w:hAnsi="Times New Roman" w:cs="Times New Roman"/>
          <w:sz w:val="21"/>
          <w:lang w:val="en-GB"/>
        </w:rPr>
      </w:pPr>
      <w:r w:rsidRPr="005136F2">
        <w:rPr>
          <w:rFonts w:ascii="Times New Roman" w:hAnsi="Times New Roman" w:cs="Times New Roman"/>
          <w:sz w:val="21"/>
          <w:szCs w:val="24"/>
          <w:lang w:val="en-GB"/>
        </w:rPr>
        <w:t>6.1. These Regulations and amendments thereto are approved by the Management Council of the Foundation, which also decides on the reorganisation or abolition of the Training Centre.</w:t>
      </w:r>
      <w:r w:rsidR="00BB1839" w:rsidRPr="005136F2">
        <w:rPr>
          <w:rFonts w:ascii="Times New Roman" w:hAnsi="Times New Roman" w:cs="Times New Roman"/>
          <w:sz w:val="21"/>
          <w:lang w:val="en-GB"/>
        </w:rPr>
        <w:t xml:space="preserve"> </w:t>
      </w:r>
    </w:p>
    <w:sectPr w:rsidR="00657A6D" w:rsidRPr="005136F2" w:rsidSect="00FB20FA">
      <w:headerReference w:type="even" r:id="rId7"/>
      <w:headerReference w:type="default" r:id="rId8"/>
      <w:footerReference w:type="even" r:id="rId9"/>
      <w:footerReference w:type="default" r:id="rId10"/>
      <w:headerReference w:type="first" r:id="rId11"/>
      <w:footerReference w:type="first" r:id="rId12"/>
      <w:pgSz w:w="11906" w:h="16838"/>
      <w:pgMar w:top="1134" w:right="850" w:bottom="1134" w:left="170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E308816" w14:textId="77777777" w:rsidR="00956A4B" w:rsidRDefault="00956A4B" w:rsidP="00771F00">
      <w:pPr>
        <w:spacing w:after="0" w:line="240" w:lineRule="auto"/>
      </w:pPr>
      <w:r>
        <w:separator/>
      </w:r>
    </w:p>
  </w:endnote>
  <w:endnote w:type="continuationSeparator" w:id="0">
    <w:p w14:paraId="4FA75FA3" w14:textId="77777777" w:rsidR="00956A4B" w:rsidRDefault="00956A4B" w:rsidP="00771F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C73F30" w14:textId="77777777" w:rsidR="00FB20FA" w:rsidRDefault="00FB20FA" w:rsidP="00D23415">
    <w:pPr>
      <w:pStyle w:val="a5"/>
      <w:framePr w:wrap="around" w:vAnchor="text" w:hAnchor="margin" w:xAlign="center" w:y="1"/>
      <w:rPr>
        <w:rStyle w:val="ab"/>
      </w:rPr>
    </w:pPr>
    <w:r>
      <w:rPr>
        <w:rStyle w:val="ab"/>
      </w:rPr>
      <w:fldChar w:fldCharType="begin"/>
    </w:r>
    <w:r>
      <w:rPr>
        <w:rStyle w:val="ab"/>
      </w:rPr>
      <w:instrText xml:space="preserve">PAGE  </w:instrText>
    </w:r>
    <w:r>
      <w:rPr>
        <w:rStyle w:val="ab"/>
      </w:rPr>
      <w:fldChar w:fldCharType="end"/>
    </w:r>
  </w:p>
  <w:p w14:paraId="4EF207E0" w14:textId="77777777" w:rsidR="00FB20FA" w:rsidRDefault="00FB20FA">
    <w:pPr>
      <w:pStyle w:val="a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ECFE1C3" w14:textId="77777777" w:rsidR="00FB20FA" w:rsidRDefault="00FB20FA" w:rsidP="00D23415">
    <w:pPr>
      <w:pStyle w:val="a5"/>
      <w:framePr w:wrap="around" w:vAnchor="text" w:hAnchor="margin" w:xAlign="center" w:y="1"/>
      <w:rPr>
        <w:rStyle w:val="ab"/>
      </w:rPr>
    </w:pPr>
    <w:r>
      <w:rPr>
        <w:rStyle w:val="ab"/>
      </w:rPr>
      <w:fldChar w:fldCharType="begin"/>
    </w:r>
    <w:r>
      <w:rPr>
        <w:rStyle w:val="ab"/>
      </w:rPr>
      <w:instrText xml:space="preserve">PAGE  </w:instrText>
    </w:r>
    <w:r>
      <w:rPr>
        <w:rStyle w:val="ab"/>
      </w:rPr>
      <w:fldChar w:fldCharType="separate"/>
    </w:r>
    <w:r w:rsidR="00666447">
      <w:rPr>
        <w:rStyle w:val="ab"/>
        <w:noProof/>
      </w:rPr>
      <w:t>1</w:t>
    </w:r>
    <w:r>
      <w:rPr>
        <w:rStyle w:val="ab"/>
      </w:rPr>
      <w:fldChar w:fldCharType="end"/>
    </w:r>
  </w:p>
  <w:p w14:paraId="467EA5B1" w14:textId="77777777" w:rsidR="00FB20FA" w:rsidRDefault="00FB20FA">
    <w:pPr>
      <w:pStyle w:val="a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350C03" w14:textId="77777777" w:rsidR="00FB20FA" w:rsidRDefault="00FB20FA">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3B5D20F" w14:textId="77777777" w:rsidR="00956A4B" w:rsidRDefault="00956A4B" w:rsidP="00771F00">
      <w:pPr>
        <w:spacing w:after="0" w:line="240" w:lineRule="auto"/>
      </w:pPr>
      <w:r>
        <w:separator/>
      </w:r>
    </w:p>
  </w:footnote>
  <w:footnote w:type="continuationSeparator" w:id="0">
    <w:p w14:paraId="0B8CBF51" w14:textId="77777777" w:rsidR="00956A4B" w:rsidRDefault="00956A4B" w:rsidP="00771F0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5AC112" w14:textId="77777777" w:rsidR="00FB20FA" w:rsidRDefault="00FB20FA">
    <w:pPr>
      <w:pStyle w:val="a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99985E" w14:textId="77777777" w:rsidR="00FB20FA" w:rsidRDefault="00FB20FA">
    <w:pPr>
      <w:pStyle w:val="a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B2D154" w14:textId="77777777" w:rsidR="00FB20FA" w:rsidRDefault="00FB20FA">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95C211A"/>
    <w:multiLevelType w:val="hybridMultilevel"/>
    <w:tmpl w:val="2E20E6E8"/>
    <w:lvl w:ilvl="0" w:tplc="0419000F">
      <w:start w:val="1"/>
      <w:numFmt w:val="decimal"/>
      <w:lvlText w:val="%1."/>
      <w:lvlJc w:val="left"/>
      <w:pPr>
        <w:ind w:left="1425" w:hanging="360"/>
      </w:pPr>
    </w:lvl>
    <w:lvl w:ilvl="1" w:tplc="04190019" w:tentative="1">
      <w:start w:val="1"/>
      <w:numFmt w:val="lowerLetter"/>
      <w:lvlText w:val="%2."/>
      <w:lvlJc w:val="left"/>
      <w:pPr>
        <w:ind w:left="2145" w:hanging="360"/>
      </w:pPr>
    </w:lvl>
    <w:lvl w:ilvl="2" w:tplc="0419001B" w:tentative="1">
      <w:start w:val="1"/>
      <w:numFmt w:val="lowerRoman"/>
      <w:lvlText w:val="%3."/>
      <w:lvlJc w:val="right"/>
      <w:pPr>
        <w:ind w:left="2865" w:hanging="180"/>
      </w:pPr>
    </w:lvl>
    <w:lvl w:ilvl="3" w:tplc="0419000F" w:tentative="1">
      <w:start w:val="1"/>
      <w:numFmt w:val="decimal"/>
      <w:lvlText w:val="%4."/>
      <w:lvlJc w:val="left"/>
      <w:pPr>
        <w:ind w:left="3585" w:hanging="360"/>
      </w:pPr>
    </w:lvl>
    <w:lvl w:ilvl="4" w:tplc="04190019" w:tentative="1">
      <w:start w:val="1"/>
      <w:numFmt w:val="lowerLetter"/>
      <w:lvlText w:val="%5."/>
      <w:lvlJc w:val="left"/>
      <w:pPr>
        <w:ind w:left="4305" w:hanging="360"/>
      </w:pPr>
    </w:lvl>
    <w:lvl w:ilvl="5" w:tplc="0419001B" w:tentative="1">
      <w:start w:val="1"/>
      <w:numFmt w:val="lowerRoman"/>
      <w:lvlText w:val="%6."/>
      <w:lvlJc w:val="right"/>
      <w:pPr>
        <w:ind w:left="5025" w:hanging="180"/>
      </w:pPr>
    </w:lvl>
    <w:lvl w:ilvl="6" w:tplc="0419000F" w:tentative="1">
      <w:start w:val="1"/>
      <w:numFmt w:val="decimal"/>
      <w:lvlText w:val="%7."/>
      <w:lvlJc w:val="left"/>
      <w:pPr>
        <w:ind w:left="5745" w:hanging="360"/>
      </w:pPr>
    </w:lvl>
    <w:lvl w:ilvl="7" w:tplc="04190019" w:tentative="1">
      <w:start w:val="1"/>
      <w:numFmt w:val="lowerLetter"/>
      <w:lvlText w:val="%8."/>
      <w:lvlJc w:val="left"/>
      <w:pPr>
        <w:ind w:left="6465" w:hanging="360"/>
      </w:pPr>
    </w:lvl>
    <w:lvl w:ilvl="8" w:tplc="0419001B" w:tentative="1">
      <w:start w:val="1"/>
      <w:numFmt w:val="lowerRoman"/>
      <w:lvlText w:val="%9."/>
      <w:lvlJc w:val="right"/>
      <w:pPr>
        <w:ind w:left="7185"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A4"/>
    <w:rsid w:val="00024961"/>
    <w:rsid w:val="0005731C"/>
    <w:rsid w:val="000C1B80"/>
    <w:rsid w:val="0011670F"/>
    <w:rsid w:val="001576FB"/>
    <w:rsid w:val="001673E7"/>
    <w:rsid w:val="00182BF4"/>
    <w:rsid w:val="001A5083"/>
    <w:rsid w:val="001C3244"/>
    <w:rsid w:val="002379D7"/>
    <w:rsid w:val="00237BF1"/>
    <w:rsid w:val="002A29EF"/>
    <w:rsid w:val="002C16B0"/>
    <w:rsid w:val="002D7F81"/>
    <w:rsid w:val="002E4ED6"/>
    <w:rsid w:val="00300E96"/>
    <w:rsid w:val="003717BA"/>
    <w:rsid w:val="00377609"/>
    <w:rsid w:val="003A2F44"/>
    <w:rsid w:val="003C6D97"/>
    <w:rsid w:val="0043450D"/>
    <w:rsid w:val="00443939"/>
    <w:rsid w:val="00497EE1"/>
    <w:rsid w:val="004A12F2"/>
    <w:rsid w:val="004D40F8"/>
    <w:rsid w:val="004E1A2A"/>
    <w:rsid w:val="0050306E"/>
    <w:rsid w:val="005136F2"/>
    <w:rsid w:val="0052211B"/>
    <w:rsid w:val="0053003B"/>
    <w:rsid w:val="0057530C"/>
    <w:rsid w:val="00597588"/>
    <w:rsid w:val="006056A4"/>
    <w:rsid w:val="0064591D"/>
    <w:rsid w:val="006549D0"/>
    <w:rsid w:val="00657A6D"/>
    <w:rsid w:val="00666447"/>
    <w:rsid w:val="006700A7"/>
    <w:rsid w:val="006B7A15"/>
    <w:rsid w:val="006C3898"/>
    <w:rsid w:val="006E05AC"/>
    <w:rsid w:val="006E7142"/>
    <w:rsid w:val="00700531"/>
    <w:rsid w:val="00764B71"/>
    <w:rsid w:val="00771F00"/>
    <w:rsid w:val="0077787D"/>
    <w:rsid w:val="007F6652"/>
    <w:rsid w:val="007F693E"/>
    <w:rsid w:val="00820A1C"/>
    <w:rsid w:val="00826944"/>
    <w:rsid w:val="008400FE"/>
    <w:rsid w:val="008E6885"/>
    <w:rsid w:val="008F047D"/>
    <w:rsid w:val="00906B7C"/>
    <w:rsid w:val="0095069A"/>
    <w:rsid w:val="00956A4B"/>
    <w:rsid w:val="009D6A80"/>
    <w:rsid w:val="009F09DB"/>
    <w:rsid w:val="009F19B6"/>
    <w:rsid w:val="009F1CD8"/>
    <w:rsid w:val="00A021B6"/>
    <w:rsid w:val="00A26175"/>
    <w:rsid w:val="00A47179"/>
    <w:rsid w:val="00AB72E4"/>
    <w:rsid w:val="00AE09EF"/>
    <w:rsid w:val="00B81B6F"/>
    <w:rsid w:val="00BB15DA"/>
    <w:rsid w:val="00BB1839"/>
    <w:rsid w:val="00BC6766"/>
    <w:rsid w:val="00BF704F"/>
    <w:rsid w:val="00C07369"/>
    <w:rsid w:val="00C40A05"/>
    <w:rsid w:val="00C6405E"/>
    <w:rsid w:val="00C90711"/>
    <w:rsid w:val="00CA283F"/>
    <w:rsid w:val="00CA3F36"/>
    <w:rsid w:val="00D33A6A"/>
    <w:rsid w:val="00D52FEE"/>
    <w:rsid w:val="00DA30BF"/>
    <w:rsid w:val="00DB09E5"/>
    <w:rsid w:val="00DB7E48"/>
    <w:rsid w:val="00DE5219"/>
    <w:rsid w:val="00E01810"/>
    <w:rsid w:val="00E05E21"/>
    <w:rsid w:val="00E53A93"/>
    <w:rsid w:val="00E71E09"/>
    <w:rsid w:val="00EE457B"/>
    <w:rsid w:val="00F058B9"/>
    <w:rsid w:val="00F4571F"/>
    <w:rsid w:val="00FB20FA"/>
    <w:rsid w:val="00FB6B85"/>
    <w:rsid w:val="00FE2AF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FADA64"/>
  <w15:chartTrackingRefBased/>
  <w15:docId w15:val="{1942A3CB-4654-4B4D-BB42-E0B8A13B8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1F00"/>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771F00"/>
  </w:style>
  <w:style w:type="paragraph" w:styleId="a5">
    <w:name w:val="footer"/>
    <w:basedOn w:val="a"/>
    <w:link w:val="a6"/>
    <w:uiPriority w:val="99"/>
    <w:unhideWhenUsed/>
    <w:rsid w:val="00771F00"/>
    <w:pPr>
      <w:tabs>
        <w:tab w:val="center" w:pos="4677"/>
        <w:tab w:val="right" w:pos="9355"/>
      </w:tabs>
      <w:spacing w:after="0" w:line="240" w:lineRule="auto"/>
    </w:pPr>
  </w:style>
  <w:style w:type="character" w:customStyle="1" w:styleId="a6">
    <w:name w:val="Нижний колонтитул Знак"/>
    <w:basedOn w:val="a0"/>
    <w:link w:val="a5"/>
    <w:uiPriority w:val="99"/>
    <w:rsid w:val="00771F00"/>
  </w:style>
  <w:style w:type="paragraph" w:styleId="a7">
    <w:name w:val="List Paragraph"/>
    <w:basedOn w:val="a"/>
    <w:uiPriority w:val="34"/>
    <w:qFormat/>
    <w:rsid w:val="00771F00"/>
    <w:pPr>
      <w:ind w:left="720"/>
      <w:contextualSpacing/>
    </w:pPr>
  </w:style>
  <w:style w:type="table" w:styleId="a8">
    <w:name w:val="Table Grid"/>
    <w:basedOn w:val="a1"/>
    <w:uiPriority w:val="39"/>
    <w:rsid w:val="000C1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aa"/>
    <w:uiPriority w:val="99"/>
    <w:semiHidden/>
    <w:unhideWhenUsed/>
    <w:rsid w:val="00F058B9"/>
    <w:pPr>
      <w:spacing w:after="0" w:line="240" w:lineRule="auto"/>
    </w:pPr>
    <w:rPr>
      <w:rFonts w:ascii="Segoe UI" w:hAnsi="Segoe UI" w:cs="Segoe UI"/>
      <w:sz w:val="18"/>
      <w:szCs w:val="18"/>
    </w:rPr>
  </w:style>
  <w:style w:type="character" w:customStyle="1" w:styleId="aa">
    <w:name w:val="Текст выноски Знак"/>
    <w:basedOn w:val="a0"/>
    <w:link w:val="a9"/>
    <w:uiPriority w:val="99"/>
    <w:semiHidden/>
    <w:rsid w:val="00F058B9"/>
    <w:rPr>
      <w:rFonts w:ascii="Segoe UI" w:hAnsi="Segoe UI" w:cs="Segoe UI"/>
      <w:sz w:val="18"/>
      <w:szCs w:val="18"/>
    </w:rPr>
  </w:style>
  <w:style w:type="character" w:styleId="ab">
    <w:name w:val="page number"/>
    <w:basedOn w:val="a0"/>
    <w:uiPriority w:val="99"/>
    <w:semiHidden/>
    <w:unhideWhenUsed/>
    <w:rsid w:val="00FB20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1</Pages>
  <Words>510</Words>
  <Characters>3010</Characters>
  <Application>Microsoft Office Word</Application>
  <DocSecurity>0</DocSecurity>
  <Lines>52</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CACF</Company>
  <LinksUpToDate>false</LinksUpToDate>
  <CharactersWithSpaces>3493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Рамазан Кумарбекович</dc:creator>
  <cp:keywords/>
  <dc:description/>
  <cp:lastModifiedBy>Учетная запись Майкрософт</cp:lastModifiedBy>
  <cp:revision>52</cp:revision>
  <cp:lastPrinted>2026-09-28T12:28:00Z</cp:lastPrinted>
  <dcterms:created xsi:type="dcterms:W3CDTF">2024-04-22T06:36:00Z</dcterms:created>
  <dcterms:modified xsi:type="dcterms:W3CDTF">2026-10-29T11:24:00Z</dcterms:modified>
</cp:coreProperties>
</file>