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E-posta &amp; Bildirimler</w:t></w:r></w:p><w:p><w:pPr><w:spacing w:after="100"/></w:pPr><w:r><w:rPr><w:i/><w:iCs/><w:color w:val="374151"/><w:sz w:val="24"/><w:szCs w:val="24"/></w:rPr><w:t xml:space="preserve">src/email-providers.js — Değiştirilebilir Giden E-posta Katmanı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Amaç</w:t></w:r></w:p><w:p><w:pPr><w:spacing w:after="160"/></w:pPr><w:r><w:rPr><w:b w:val="false"/><w:bCs w:val="false"/><w:i w:val="false"/><w:iCs w:val="false"/></w:rPr><w:t xml:space="preserve">Platformun gönderdiği tüm giden e-postaları (pazarlama flow&apos;ları, sipariş bildirimleri, komisyon faturaları, affiliate hesap bildirimleri, destek mesajları vb.) ve uygulama içi bildirim (notification) sistemini kapsar.</w:t></w:r></w:p><w:p><w:pPr><w:pStyle w:val="Heading1"/><w:spacing w:after="200" w:before="400"/></w:pPr><w:r><w:t xml:space="preserve">2. Giden E-posta — Değiştirilebilir Sağlayıcı (Pluggable Provider)</w:t></w:r></w:p><w:p><w:pPr><w:spacing w:after="160"/></w:pPr><w:r><w:rPr><w:b w:val="false"/><w:bCs w:val="false"/><w:i w:val="false"/><w:iCs w:val="false"/></w:rPr><w:t xml:space="preserve">src/email-providers.js dosyası, hangi e-posta servisinin kullanılacağını platform ayarlarından okuyup çalışma zamanında (runtime) seçen bir soyutlama katmanıdır. İki sağlayıcı desteklenir: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Sağlayıcı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Kullanım Şekli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SMTP (Nodemailer)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Klasik SMTP sunucu bağlantısı (ör. bir e-posta hosting sağlayıcısının SMTP&apos;si).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Resend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Modern, API tabanlı bir e-posta gönderim servisi (transactional email API).</w:t></w:r></w:p></w:tc></w:tr></w:tbl><w:p><w:pPr><w:spacing w:after="160"/></w:pPr><w:r><w:rPr><w:b w:val="false"/><w:bCs w:val="false"/><w:i w:val="false"/><w:iCs w:val="false"/></w:rPr><w:t xml:space="preserve">Hangi sağlayıcının aktif olduğu ve API anahtarları veritabanından (platform ayarları) okunur, koda sabitlenmez — bu sayede sağlayıcı değişikliği bir kod değişikliği gerektirmez, sadece SellerCentral/superuser ayarlarından bir güncelleme yeterlidir.</w:t></w:r></w:p><w:p><w:pPr><w:pStyle w:val="Heading1"/><w:spacing w:after="200" w:before="400"/></w:pPr><w:r><w:t xml:space="preserve">3. E-posta Gönderilen Senaryolar</w:t></w:r></w:p><0/><w:p><w:pPr><w:pStyle w:val="Heading1"/><w:spacing w:after="200" w:before="400"/></w:pPr><w:r><w:t xml:space="preserve">4. Uygulama İçi Bildirimler</w:t></w:r></w:p><w:p><w:pPr><w:spacing w:after="160"/></w:pPr><w:r><w:rPr><w:b w:val="false"/><w:bCs w:val="false"/><w:i w:val="false"/><w:iCs w:val="false"/></w:rPr><w:t xml:space="preserve">notifications.js ve admin-hub-notify.js (paylaşılan yardımcı fonksiyon insertAdminHubNotificationSafe), SellerCentral&apos;ın sağ üstündeki bildirim çanı ile Shop&apos;taki müşteri bildirimlerini besleyen ortak, veritabanı tabanlı bir bildirim tablosuna satır ekler. E-posta gönderimi ile uygulama içi bildirim genellikle BİRLİKTE tetiklenir (aynı olay hem e-posta hem uygulama içi bildirim üretir) ama birbirinden bağımsız çalışabilir — biri başarısız olursa diğerini engellemez.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2026-09-08T09:03:02.376Z</dcterms:created>
  <dcterms:modified xsi:type="dcterms:W3CDTF">2026-09-08T09:03:02.376Z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