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/></w:pPr><w:r><w:rPr><w:b/><w:bCs/><w:color w:val="111827"/><w:sz w:val="56"/><w:szCs w:val="56"/></w:rPr><w:t xml:space="preserve">Stripe &amp; Ödemeler</w:t></w:r></w:p><w:p><w:pPr><w:spacing w:after="100"/></w:pPr><w:r><w:rPr><w:i/><w:iCs/><w:color w:val="374151"/><w:sz w:val="24"/><w:szCs w:val="24"/></w:rPr><w:t xml:space="preserve">Ödeme Alma (Checkout) ve Para Dağıtımı (Payout) Mimarisi</w:t></w:r></w:p><w:p><w:pPr><w:spacing w:after="400"/></w:pPr><w:r><w:rPr><w:color w:val="B45309"/><w:sz w:val="18"/><w:szCs w:val="18"/></w:rPr><w:t xml:space="preserve">Andertal Marketplace — Teknik Dokümantasyon · 2026-09-08</w:t></w:r></w:p><w:p><w:pPr><w:pStyle w:val="Heading1"/><w:spacing w:after="200" w:before="400"/></w:pPr><w:r><w:t xml:space="preserve">1. Amaç</w:t></w:r></w:p><w:p><w:pPr><w:spacing w:after="160"/></w:pPr><w:r><w:rPr><w:b w:val="false"/><w:bCs w:val="false"/><w:i w:val="false"/><w:iCs w:val="false"/></w:rPr><w:t xml:space="preserve">Andertal, çok satıcılı bir pazaryeri olarak müşteri ödemesini tek bir Stripe hesabında toplar, sonra bu tutarı satıcılara ve (yeni eklenen) affiliate&apos;lere dağıtır. Bu doküman, ödeme alma (checkout) ve para dağıtma (payout) tarafındaki tüm Stripe entegrasyon noktalarını özetler.</w:t></w:r></w:p><w:p><w:pPr><w:pStyle w:val="Heading1"/><w:spacing w:after="200" w:before="400"/></w:pPr><w:r><w:t xml:space="preserve">2. Ödeme Alma (Checkout)</w:t></w:r></w:p><0/><w:p><w:pPr><w:pStyle w:val="Heading1"/><w:spacing w:after="200" w:before="400"/></w:pPr><w:r><w:t xml:space="preserve">3. Satıcılara Para Dağıtımı — İki Paralel Model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Model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Nasıl Çalışır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Kim Kullanır</w:t></w:r></w:p></w:tc></w:tr><w:tr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IBAN / Banka Havalesi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Her 15 günlük dönem için otomatik &quot;Provisionsrechnung&quot; (komisyon faturası) üretilir; superuser bu faturaları inceleyip banka havalesiyle öder, sistemde &quot;ödendi&quot; işaretler. Ayrıca ayda iki kez (2. ve 4. Cuma) otomatik toplu bir işlem de vardır.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Satıcıların ÇOĞUNLUĞU (varsayılan/ana yöntem).</w:t></w:r></w:p></w:tc></w:tr><w:tr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Stripe Connect Express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Satıcı/affiliate kendi Stripe Express hesabını bağlar (bir &quot;Account Link&quot; üzerinden Stripe&apos;ın kendi KYC/onboarding akışına yönlendirilir). Platform stripe.transfers.create ile bu hesaba para aktarır. Hesap BİLİNÇLİ OLARAK &quot;manuel ödeme takvimi&quot; (payouts.schedule.interval = manual) ile ayarlanır — yani para hesaba düşer ama otomatik olarak dış bankaya gönderilmez; kişi kendi Stripe Express panelinden (bir &quot;dashboard-link&quot; / createLoginLink ile erişilen) istediği an kendi bankasına çeker. Bu, platformun parayı doğrudan otomatik olarak dış hesaplara göndermek yerine bir kontrol/onay adımı istemesinin bilinçli sonucudur.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Bazı satıcılar + affiliate sisteminin TÜMÜ.</w:t></w:r></w:p></w:tc></w:tr></w:tbl><w:p><w:pPr><w:spacing w:after="160"/></w:pPr><w:r><w:rPr><w:b w:val="false"/><w:bCs w:val="false"/><w:i w:val="false"/><w:iCs w:val="false"/></w:rPr><w:t xml:space="preserve">Satıcı tarafında Settings → Stripe Connect sayfası KASITLI olarak superuser-only&apos;dir — sıradan bir satıcı bu sayfaya erişemez, çünkü satıcıların büyük çoğunluğu IBAN modelini kullanır ve Stripe Connect ile hiçbir işlem yapmamalıdır (yanlışlıkla iki farklı ödeme yoluna kaydolmalarını önlemek için).</w:t></w:r></w:p><w:p><w:pPr><w:pStyle w:val="Heading1"/><w:spacing w:after="200" w:before="400"/></w:pPr><w:r><w:t xml:space="preserve">4. Manuel Superuser Müdahalesi (routes/stripe-connect.js)</w:t></w:r></w:p><w:p><w:pPr><w:spacing w:after="160"/></w:pPr><w:r><w:rPr><w:b w:val="false"/><w:bCs w:val="false"/><w:i w:val="false"/><w:iCs w:val="false"/></w:rPr><w:t xml:space="preserve">Superuser, gerektiğinde tek bir siparişin parasını normal 14 günlük bekleme süresini beklemeden manuel olarak serbest bırakabilir (/admin-hub/v1/stripe-connect/transfer/:orderId). Bu uç nokta, siparişin hangi ödeme modeliyle alındığına göre (destination charge / legacy transfer) iki farklı Stripe API çağrısı arasında otomatik seçim yapar.</w:t></w:r></w:p><w:p><w:pPr><w:pStyle w:val="Heading1"/><w:spacing w:after="200" w:before="400"/></w:pPr><w:r><w:t xml:space="preserve">5. Vergi (KDV) Ayrımı — Karıştırılmaması Gereken İki Farklı Oran</w:t></w:r></w:p><0/><w:p><w:pPr><w:pStyle w:val="Heading1"/><w:spacing w:after="200" w:before="400"/></w:pPr><w:r><w:t xml:space="preserve">6. Affiliate Ödeme Sistemi ile İlişki</w:t></w:r></w:p><w:p><w:pPr><w:spacing w:after="160"/></w:pPr><w:r><w:rPr><w:b w:val="false"/><w:bCs w:val="false"/><w:i w:val="false"/><w:iCs w:val="false"/></w:rPr><w:t xml:space="preserve">Affiliate Platform (bkz. ayrı doküman) sisteminin ödeme motoru, tam olarak yukarıdaki &quot;Stripe Connect Express&quot; modelini bire bir mirasla yeniden kullanır (aynı Account Link + manuel takvim + dashboard-link deseni) — kod tekrarı yerine mevcut resolveStripeSecretKeyFromPlatform / loadPlatformCheckoutRow yardımcı fonksiyonları doğrudan içe aktarılarak (import edilerek) kullanılmıştır.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2026-09-08T09:03:02.514Z</dcterms:created>
  <dcterms:modified xsi:type="dcterms:W3CDTF">2026-09-08T09:03:02.514Z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