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E-Commerce Gateway: Mikroservis Mimarisi ile</w:t>
      </w:r>
    </w:p>
    <w:p>
      <w:pPr>
        <w:spacing w:after="100"/>
        <w:jc w:val="center"/>
      </w:pPr>
      <w:r>
        <w:rPr>
          <w:rFonts w:ascii="Times New Roman" w:cs="Times New Roman" w:eastAsia="Times New Roman" w:hAnsi="Times New Roman"/>
          <w:b/>
          <w:bCs/>
          <w:sz w:val="28"/>
          <w:szCs w:val="28"/>
        </w:rPr>
        <w:t xml:space="preserve">Ölçeklenebilir E-Ticaret Sistemi</w:t>
      </w:r>
    </w:p>
    <w:p>
      <w:pPr>
        <w:spacing w:after="60"/>
        <w:jc w:val="center"/>
      </w:pPr>
      <w:r>
        <w:rPr>
          <w:rFonts w:ascii="Times New Roman" w:cs="Times New Roman" w:eastAsia="Times New Roman" w:hAnsi="Times New Roman"/>
          <w:i/>
          <w:iCs/>
          <w:sz w:val="20"/>
          <w:szCs w:val="20"/>
        </w:rPr>
        <w:t xml:space="preserve">E-Commerce Gateway: Scalable E-Commerce System with Microservice Architecture</w:t>
      </w:r>
    </w:p>
    <w:p>
      <w:pPr>
        <w:spacing w:after="120"/>
      </w:pPr>
    </w:p>
    <w:tbl>
      <w:tblPr>
        <w:tblW w:type="dxa" w:w="10438"/>
        <w:tblBorders>
          <w:top w:val="single" w:color="auto" w:sz="4"/>
          <w:left w:val="single" w:color="auto" w:sz="4"/>
          <w:bottom w:val="single" w:color="auto" w:sz="4"/>
          <w:right w:val="single" w:color="auto" w:sz="4"/>
          <w:insideH w:val="single" w:color="auto" w:sz="4"/>
          <w:insideV w:val="single" w:color="auto" w:sz="4"/>
        </w:tblBorders>
      </w:tblPr>
      <w:tblGrid>
        <w:gridCol w:w="5219"/>
        <w:gridCol w:w="5219"/>
      </w:tblGrid>
      <w:tr>
        <w:tc>
          <w:tcPr>
            <w:tcW w:type="dxa" w:w="5219"/>
            <w:tcBorders>
              <w:top w:val="none" w:sz="0"/>
              <w:left w:val="none" w:sz="0"/>
              <w:bottom w:val="none" w:sz="0"/>
              <w:right w:val="none" w:sz="0"/>
            </w:tcBorders>
          </w:tcPr>
          <w:p>
            <w:pPr>
              <w:spacing w:after="0"/>
              <w:jc w:val="center"/>
            </w:pPr>
            <w:r>
              <w:rPr>
                <w:rFonts w:ascii="Times New Roman" w:cs="Times New Roman" w:eastAsia="Times New Roman" w:hAnsi="Times New Roman"/>
                <w:sz w:val="18"/>
                <w:szCs w:val="18"/>
              </w:rPr>
              <w:t xml:space="preserve">1. Ahmet Tahsin Söylemez</w:t>
            </w:r>
          </w:p>
          <w:p>
            <w:pPr>
              <w:spacing w:after="0"/>
              <w:jc w:val="center"/>
            </w:pPr>
            <w:r>
              <w:rPr>
                <w:rFonts w:ascii="Times New Roman" w:cs="Times New Roman" w:eastAsia="Times New Roman" w:hAnsi="Times New Roman"/>
                <w:sz w:val="16"/>
                <w:szCs w:val="16"/>
              </w:rPr>
              <w:t xml:space="preserve">211307040</w:t>
            </w:r>
          </w:p>
          <w:p>
            <w:pPr>
              <w:spacing w:after="0"/>
              <w:jc w:val="center"/>
            </w:pPr>
            <w:r>
              <w:rPr>
                <w:rFonts w:ascii="Times New Roman" w:cs="Times New Roman" w:eastAsia="Times New Roman" w:hAnsi="Times New Roman"/>
                <w:sz w:val="16"/>
                <w:szCs w:val="16"/>
              </w:rPr>
              <w:t xml:space="preserve">Bilişim Sistemleri Mühendisliği</w:t>
            </w:r>
          </w:p>
          <w:p>
            <w:pPr>
              <w:spacing w:after="0"/>
              <w:jc w:val="center"/>
            </w:pPr>
            <w:r>
              <w:rPr>
                <w:rFonts w:ascii="Times New Roman" w:cs="Times New Roman" w:eastAsia="Times New Roman" w:hAnsi="Times New Roman"/>
                <w:sz w:val="16"/>
                <w:szCs w:val="16"/>
              </w:rPr>
              <w:t xml:space="preserve">Kocaeli Üniversitesi</w:t>
            </w:r>
          </w:p>
        </w:tc>
        <w:tc>
          <w:tcPr>
            <w:tcW w:type="dxa" w:w="5219"/>
            <w:tcBorders>
              <w:top w:val="none" w:sz="0"/>
              <w:left w:val="none" w:sz="0"/>
              <w:bottom w:val="none" w:sz="0"/>
              <w:right w:val="none" w:sz="0"/>
            </w:tcBorders>
          </w:tcPr>
          <w:p>
            <w:pPr>
              <w:spacing w:after="0"/>
              <w:jc w:val="center"/>
            </w:pPr>
            <w:r>
              <w:rPr>
                <w:rFonts w:ascii="Times New Roman" w:cs="Times New Roman" w:eastAsia="Times New Roman" w:hAnsi="Times New Roman"/>
                <w:sz w:val="18"/>
                <w:szCs w:val="18"/>
              </w:rPr>
              <w:t xml:space="preserve">2. Murat Öztürk</w:t>
            </w:r>
          </w:p>
          <w:p>
            <w:pPr>
              <w:spacing w:after="0"/>
              <w:jc w:val="center"/>
            </w:pPr>
            <w:r>
              <w:rPr>
                <w:rFonts w:ascii="Times New Roman" w:cs="Times New Roman" w:eastAsia="Times New Roman" w:hAnsi="Times New Roman"/>
                <w:sz w:val="16"/>
                <w:szCs w:val="16"/>
              </w:rPr>
              <w:t xml:space="preserve">211307082</w:t>
            </w:r>
          </w:p>
          <w:p>
            <w:pPr>
              <w:spacing w:after="0"/>
              <w:jc w:val="center"/>
            </w:pPr>
            <w:r>
              <w:rPr>
                <w:rFonts w:ascii="Times New Roman" w:cs="Times New Roman" w:eastAsia="Times New Roman" w:hAnsi="Times New Roman"/>
                <w:sz w:val="16"/>
                <w:szCs w:val="16"/>
              </w:rPr>
              <w:t xml:space="preserve">Bilişim Sistemleri Mühendisliği</w:t>
            </w:r>
          </w:p>
          <w:p>
            <w:pPr>
              <w:spacing w:after="0"/>
              <w:jc w:val="center"/>
            </w:pPr>
            <w:r>
              <w:rPr>
                <w:rFonts w:ascii="Times New Roman" w:cs="Times New Roman" w:eastAsia="Times New Roman" w:hAnsi="Times New Roman"/>
                <w:sz w:val="16"/>
                <w:szCs w:val="16"/>
              </w:rPr>
              <w:t xml:space="preserve">Kocaeli Üniversitesi</w:t>
            </w:r>
          </w:p>
        </w:tc>
      </w:tr>
    </w:tbl>
    <w:p>
      <w:pPr>
        <w:spacing w:after="200"/>
      </w:pPr>
    </w:p>
    <w:p>
      <w:pPr>
        <w:spacing w:after="80"/>
        <w:ind w:left="360" w:right="360"/>
        <w:jc w:val="both"/>
      </w:pPr>
      <w:r>
        <w:rPr>
          <w:rFonts w:ascii="Times New Roman" w:cs="Times New Roman" w:eastAsia="Times New Roman" w:hAnsi="Times New Roman"/>
          <w:b/>
          <w:bCs/>
          <w:sz w:val="18"/>
          <w:szCs w:val="18"/>
        </w:rPr>
        <w:t xml:space="preserve">Özet—</w:t>
      </w:r>
      <w:r>
        <w:rPr>
          <w:rFonts w:ascii="Times New Roman" w:cs="Times New Roman" w:eastAsia="Times New Roman" w:hAnsi="Times New Roman"/>
          <w:sz w:val="18"/>
          <w:szCs w:val="18"/>
        </w:rPr>
        <w:t xml:space="preserve">Bu çalışmada, mikroservis mimarisi kullanılarak ölçeklenebilir bir e-ticaret gateway sistemi geliştirilmiştir. Sistem, bir API Gateway (Dispatcher) üzerinden yönetilen dört bağımsız servisten (Auth, Product, Order ve Dispatcher) oluşmaktadır. Dispatcher servisi, Test Driven Development (TDD) metodolojisi ile 11 cycle boyunca geliştirilmiş olup; JWT tabanlı kimlik doğrulama, rol tabanlı yetkilendirme, istek loglama, rate limiting, Prometheus metrik toplama ve Saga pattern ile sipariş orkestrasyon özelliklerini içermektedir. Docker Compose ile container tabanlı deployment, network izolasyonu, Grafana ile görsel monitoring ve k6 ile yük testi altyapısı sağlanmıştır.</w:t>
      </w:r>
    </w:p>
    <w:p>
      <w:pPr>
        <w:spacing w:after="80"/>
        <w:ind w:left="360" w:right="360"/>
      </w:pPr>
      <w:r>
        <w:rPr>
          <w:rFonts w:ascii="Times New Roman" w:cs="Times New Roman" w:eastAsia="Times New Roman" w:hAnsi="Times New Roman"/>
          <w:b/>
          <w:bCs/>
          <w:sz w:val="18"/>
          <w:szCs w:val="18"/>
        </w:rPr>
        <w:t xml:space="preserve">Anahtar Kelimeler—</w:t>
      </w:r>
      <w:r>
        <w:rPr>
          <w:rFonts w:ascii="Times New Roman" w:cs="Times New Roman" w:eastAsia="Times New Roman" w:hAnsi="Times New Roman"/>
          <w:sz w:val="18"/>
          <w:szCs w:val="18"/>
        </w:rPr>
        <w:t xml:space="preserve">Mikroservis, API Gateway, TDD, Docker, Express.js, JWT, Prometheus, Grafana, k6</w:t>
      </w:r>
    </w:p>
    <w:p>
      <w:pPr>
        <w:spacing w:after="80"/>
        <w:ind w:left="360" w:right="360"/>
        <w:jc w:val="both"/>
      </w:pPr>
      <w:r>
        <w:rPr>
          <w:rFonts w:ascii="Times New Roman" w:cs="Times New Roman" w:eastAsia="Times New Roman" w:hAnsi="Times New Roman"/>
          <w:b/>
          <w:bCs/>
          <w:sz w:val="18"/>
          <w:szCs w:val="18"/>
        </w:rPr>
        <w:t xml:space="preserve">Abstract—</w:t>
      </w:r>
      <w:r>
        <w:rPr>
          <w:rFonts w:ascii="Times New Roman" w:cs="Times New Roman" w:eastAsia="Times New Roman" w:hAnsi="Times New Roman"/>
          <w:sz w:val="18"/>
          <w:szCs w:val="18"/>
        </w:rPr>
        <w:t xml:space="preserve">In this study, a scalable e-commerce gateway system has been developed using microservice architecture. The system consists of four independent services (Auth, Product, Order, and Dispatcher) managed through an API Gateway. The Dispatcher service was developed through 11 TDD cycles, incorporating JWT authentication, role-based authorization, request logging, rate limiting, Prometheus metrics collection, and Saga pattern order orchestration. Container-based deployment with Docker Compose, network isolation, visual monitoring with Grafana, and load testing infrastructure with k6 have been implemented.</w:t>
      </w:r>
    </w:p>
    <w:p>
      <w:pPr>
        <w:spacing w:after="120"/>
        <w:ind w:left="360" w:right="360"/>
      </w:pPr>
      <w:r>
        <w:rPr>
          <w:rFonts w:ascii="Times New Roman" w:cs="Times New Roman" w:eastAsia="Times New Roman" w:hAnsi="Times New Roman"/>
          <w:b/>
          <w:bCs/>
          <w:sz w:val="18"/>
          <w:szCs w:val="18"/>
        </w:rPr>
        <w:t xml:space="preserve">Keywords—</w:t>
      </w:r>
      <w:r>
        <w:rPr>
          <w:rFonts w:ascii="Times New Roman" w:cs="Times New Roman" w:eastAsia="Times New Roman" w:hAnsi="Times New Roman"/>
          <w:sz w:val="18"/>
          <w:szCs w:val="18"/>
        </w:rPr>
        <w:t xml:space="preserve">Microservice, API Gateway, TDD, Docker, Express.js, JWT, Prometheus, Grafana, k6</w:t>
      </w:r>
    </w:p>
    <w:p>
      <w:pPr>
        <w:sectPr>
          <w:type w:val="nextPage"/>
          <w:pgSz w:w="11906" w:h="16838" w:orient="portrait"/>
          <w:pgMar w:top="1080" w:right="734" w:bottom="1440" w:left="734" w:header="0" w:footer="0" w:gutter="0"/>
          <w:pgNumType/>
          <w:cols w:num="1"/>
          <w:docGrid w:linePitch="360"/>
        </w:sectPr>
      </w:pPr>
    </w:p>
    <w:p>
      <w:pPr>
        <w:spacing w:after="120" w:before="240"/>
        <w:jc w:val="center"/>
      </w:pPr>
      <w:r>
        <w:rPr>
          <w:rFonts w:ascii="Times New Roman" w:cs="Times New Roman" w:eastAsia="Times New Roman" w:hAnsi="Times New Roman"/>
          <w:b/>
          <w:bCs/>
          <w:sz w:val="20"/>
          <w:szCs w:val="20"/>
        </w:rPr>
        <w:t xml:space="preserve">I. GİRİŞ</w:t>
      </w:r>
    </w:p>
    <w:p>
      <w:pPr>
        <w:spacing w:after="60" w:line="240"/>
        <w:ind/>
        <w:jc w:val="both"/>
      </w:pPr>
      <w:r>
        <w:rPr>
          <w:rFonts w:ascii="Times New Roman" w:cs="Times New Roman" w:eastAsia="Times New Roman" w:hAnsi="Times New Roman"/>
          <w:sz w:val="20"/>
          <w:szCs w:val="20"/>
        </w:rPr>
        <w:t xml:space="preserve">Geleneksel monolitik e-ticaret sistemleri, artan kullanıcı trafiği ve değişen iş gereksinimleri karşısında ölçeklenme sorunları yaşar. Tek bir kod tabanı üzerinde yapılan değişiklikler tüm sistemi etkiler, deployment süreçleri uzar ve farklı bileşenlerin bağımsız olarak ölçeklenmesi mümkün olmaz.</w:t>
      </w:r>
    </w:p>
    <w:p>
      <w:pPr>
        <w:spacing w:after="60" w:line="240"/>
        <w:ind/>
        <w:jc w:val="both"/>
      </w:pPr>
      <w:r>
        <w:rPr>
          <w:rFonts w:ascii="Times New Roman" w:cs="Times New Roman" w:eastAsia="Times New Roman" w:hAnsi="Times New Roman"/>
          <w:sz w:val="20"/>
          <w:szCs w:val="20"/>
        </w:rPr>
        <w:t xml:space="preserve">Bu projede, mikroservis mimarisi ile modüler ve ölçeklenebilir bir e-ticaret sistemi geliştirilmiştir. Sistem, bir API Gateway (Dispatcher) üzerinden yönetilen dört bağımsız servisten oluşmaktadır: Dispatcher (API Gateway), Auth Service, Product Service ve Order Service.</w:t>
      </w:r>
    </w:p>
    <w:p>
      <w:pPr>
        <w:spacing w:after="60" w:line="240"/>
        <w:jc w:val="both"/>
      </w:pPr>
      <w:r>
        <w:rPr>
          <w:rFonts w:ascii="Times New Roman" w:cs="Times New Roman" w:eastAsia="Times New Roman" w:hAnsi="Times New Roman"/>
          <w:sz w:val="20"/>
          <w:szCs w:val="20"/>
        </w:rPr>
        <w:t xml:space="preserve">Projenin temel hedefleri şunlardır:</w:t>
      </w:r>
    </w:p>
    <w:p>
      <w:pPr>
        <w:spacing w:after="4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TDD disiplinini 11 cycle boyunca uygulamak</w:t>
      </w:r>
    </w:p>
    <w:p>
      <w:pPr>
        <w:spacing w:after="4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API Gateway pattern ile güvenli ve merkezi erişim sağlamak</w:t>
      </w:r>
    </w:p>
    <w:p>
      <w:pPr>
        <w:spacing w:after="4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Network izolasyonu ile mikroservislerin dışarıdan erişilemez olmasını garantilemek</w:t>
      </w:r>
    </w:p>
    <w:p>
      <w:pPr>
        <w:spacing w:after="4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Prometheus + Grafana ile gözlemlenebilirlik sağlamak</w:t>
      </w:r>
    </w:p>
    <w:p>
      <w:pPr>
        <w:spacing w:after="4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k6 yük testleri ile performans limitlerini ölçmek</w:t>
      </w:r>
    </w:p>
    <w:p>
      <w:pPr>
        <w:spacing w:after="120" w:before="240"/>
        <w:jc w:val="center"/>
      </w:pPr>
      <w:r>
        <w:rPr>
          <w:rFonts w:ascii="Times New Roman" w:cs="Times New Roman" w:eastAsia="Times New Roman" w:hAnsi="Times New Roman"/>
          <w:b/>
          <w:bCs/>
          <w:sz w:val="20"/>
          <w:szCs w:val="20"/>
        </w:rPr>
        <w:t xml:space="preserve">II. TEORİK ALTYAPI</w:t>
      </w:r>
    </w:p>
    <w:p>
      <w:pPr>
        <w:spacing w:after="60" w:before="180"/>
      </w:pPr>
      <w:r>
        <w:rPr>
          <w:rFonts w:ascii="Times New Roman" w:cs="Times New Roman" w:eastAsia="Times New Roman" w:hAnsi="Times New Roman"/>
          <w:b/>
          <w:bCs/>
          <w:i/>
          <w:iCs/>
          <w:sz w:val="20"/>
          <w:szCs w:val="20"/>
        </w:rPr>
        <w:t xml:space="preserve">A. Mikroservis Mimarisi</w:t>
      </w:r>
    </w:p>
    <w:p>
      <w:pPr>
        <w:spacing w:after="60" w:line="240"/>
        <w:ind/>
        <w:jc w:val="both"/>
      </w:pPr>
      <w:r>
        <w:rPr>
          <w:rFonts w:ascii="Times New Roman" w:cs="Times New Roman" w:eastAsia="Times New Roman" w:hAnsi="Times New Roman"/>
          <w:sz w:val="20"/>
          <w:szCs w:val="20"/>
        </w:rPr>
        <w:t xml:space="preserve">Mikroservis mimarisi, bir uygulamayı küçük, bağımsız servisler koleksiyonu olarak tasarlama yaklaşımıdır [1]. Her servis kendi veritabanı ve iş mantığına sahiptir, bağımsız deploy edilebilir ve farklı teknolojilerle geliştirilebilir. Bu yaklaşım; bağımsız deployment, teknoloji çeşitliliği ve hata izolasyonu gibi avantajlar sunarken, dağıtık sistem karmaşıklığı ve veri tutarlılığı zorluğu gibi dezavantajları da beraberinde getirmektedir [2].</w:t>
      </w:r>
    </w:p>
    <w:p>
      <w:pPr>
        <w:spacing w:after="60" w:before="180"/>
      </w:pPr>
      <w:r>
        <w:rPr>
          <w:rFonts w:ascii="Times New Roman" w:cs="Times New Roman" w:eastAsia="Times New Roman" w:hAnsi="Times New Roman"/>
          <w:b/>
          <w:bCs/>
          <w:i/>
          <w:iCs/>
          <w:sz w:val="20"/>
          <w:szCs w:val="20"/>
        </w:rPr>
        <w:t xml:space="preserve">B. API Gateway Pattern</w:t>
      </w:r>
    </w:p>
    <w:p>
      <w:pPr>
        <w:spacing w:after="60" w:line="240"/>
        <w:ind/>
        <w:jc w:val="both"/>
      </w:pPr>
      <w:r>
        <w:rPr>
          <w:rFonts w:ascii="Times New Roman" w:cs="Times New Roman" w:eastAsia="Times New Roman" w:hAnsi="Times New Roman"/>
          <w:sz w:val="20"/>
          <w:szCs w:val="20"/>
        </w:rPr>
        <w:t xml:space="preserve">API Gateway, tüm dışarıdan gelen isteklerin tek bir noktadan geçmesini sağlayan mimari bir kalıptır [2]. Bu projede Dispatcher servisi; routing, JWT authentication, role-based authorization, request/response logging, rate limiting, Prometheus metrics collection ve Saga pattern ile sipariş orkestrasyon görevlerini üstlenmektedir.</w:t>
      </w:r>
    </w:p>
    <w:p>
      <w:pPr>
        <w:spacing w:after="60" w:before="180"/>
      </w:pPr>
      <w:r>
        <w:rPr>
          <w:rFonts w:ascii="Times New Roman" w:cs="Times New Roman" w:eastAsia="Times New Roman" w:hAnsi="Times New Roman"/>
          <w:b/>
          <w:bCs/>
          <w:i/>
          <w:iCs/>
          <w:sz w:val="20"/>
          <w:szCs w:val="20"/>
        </w:rPr>
        <w:t xml:space="preserve">C. Test Driven Development (TDD)</w:t>
      </w:r>
    </w:p>
    <w:p>
      <w:pPr>
        <w:spacing w:after="60" w:line="240"/>
        <w:ind/>
        <w:jc w:val="both"/>
      </w:pPr>
      <w:r>
        <w:rPr>
          <w:rFonts w:ascii="Times New Roman" w:cs="Times New Roman" w:eastAsia="Times New Roman" w:hAnsi="Times New Roman"/>
          <w:sz w:val="20"/>
          <w:szCs w:val="20"/>
        </w:rPr>
        <w:t xml:space="preserve">TDD, önce test yazılıp sonra kodun implement edilmesi prensibine dayanır [4]. RED (başarısız test) → GREEN (minimum implementasyon) → REFACTOR (iyileştirme) döngüsü ile geliştirme yapılır. Bu projede Dispatcher servisi 11 TDD cycle ile geliştirilmiş olup, her cycle için 3 ayrı commit atılmıştır.</w:t>
      </w:r>
    </w:p>
    <w:p>
      <w:pPr>
        <w:spacing w:after="60" w:before="180"/>
      </w:pPr>
      <w:r>
        <w:rPr>
          <w:rFonts w:ascii="Times New Roman" w:cs="Times New Roman" w:eastAsia="Times New Roman" w:hAnsi="Times New Roman"/>
          <w:b/>
          <w:bCs/>
          <w:i/>
          <w:iCs/>
          <w:sz w:val="20"/>
          <w:szCs w:val="20"/>
        </w:rPr>
        <w:t xml:space="preserve">D. Richardson Maturity Model</w:t>
      </w:r>
    </w:p>
    <w:p>
      <w:pPr>
        <w:spacing w:after="60" w:line="240"/>
        <w:ind/>
        <w:jc w:val="both"/>
      </w:pPr>
      <w:r>
        <w:rPr>
          <w:rFonts w:ascii="Times New Roman" w:cs="Times New Roman" w:eastAsia="Times New Roman" w:hAnsi="Times New Roman"/>
          <w:sz w:val="20"/>
          <w:szCs w:val="20"/>
        </w:rPr>
        <w:t xml:space="preserve">RESTful API tasarımında olgunluk seviyelerini tanımlayan bu model, Level 0’dan (tek endpoint) Level 3’e (HATEOAS) kadar dört seviyeden oluşur [5]. Bu proje, kaynak bazlı URI’lar ve doğru HTTP metod kullanımı ile Level 2 uyumludur.</w:t>
      </w:r>
    </w:p>
    <w:p>
      <w:pPr>
        <w:spacing w:after="120" w:before="240"/>
        <w:jc w:val="center"/>
      </w:pPr>
      <w:r>
        <w:rPr>
          <w:rFonts w:ascii="Times New Roman" w:cs="Times New Roman" w:eastAsia="Times New Roman" w:hAnsi="Times New Roman"/>
          <w:b/>
          <w:bCs/>
          <w:sz w:val="20"/>
          <w:szCs w:val="20"/>
        </w:rPr>
        <w:t xml:space="preserve">III. SİSTEM TASARIMI</w:t>
      </w:r>
    </w:p>
    <w:p>
      <w:pPr>
        <w:spacing w:after="60" w:before="180"/>
      </w:pPr>
      <w:r>
        <w:rPr>
          <w:rFonts w:ascii="Times New Roman" w:cs="Times New Roman" w:eastAsia="Times New Roman" w:hAnsi="Times New Roman"/>
          <w:b/>
          <w:bCs/>
          <w:i/>
          <w:iCs/>
          <w:sz w:val="20"/>
          <w:szCs w:val="20"/>
        </w:rPr>
        <w:t xml:space="preserve">A. Genel Mimari</w:t>
      </w:r>
    </w:p>
    <w:p>
      <w:pPr>
        <w:spacing w:after="60" w:line="240"/>
        <w:ind/>
        <w:jc w:val="both"/>
      </w:pPr>
      <w:r>
        <w:rPr>
          <w:rFonts w:ascii="Times New Roman" w:cs="Times New Roman" w:eastAsia="Times New Roman" w:hAnsi="Times New Roman"/>
          <w:sz w:val="20"/>
          <w:szCs w:val="20"/>
        </w:rPr>
        <w:t xml:space="preserve">Sistem, Docker Compose ile orkestre edilen 7 container’dan oluşmaktadır. Dispatcher (API Gateway, port 3000) dış dünyaya açık tek giriş noktasıdır. Auth Service (3001), Product Service (3002) ve Order Service (3003) yalnızca internal network üzerinden erişilebilir durumdadır. MongoDB veritabanı, Prometheus ve Grafana (port 3100) monitoring altyapısını oluşturmaktadır.</w:t>
      </w:r>
    </w:p>
    <w:p>
      <w:pPr>
        <w:spacing w:after="60" w:before="180"/>
      </w:pPr>
      <w:r>
        <w:rPr>
          <w:rFonts w:ascii="Times New Roman" w:cs="Times New Roman" w:eastAsia="Times New Roman" w:hAnsi="Times New Roman"/>
          <w:b/>
          <w:bCs/>
          <w:i/>
          <w:iCs/>
          <w:sz w:val="20"/>
          <w:szCs w:val="20"/>
        </w:rPr>
        <w:t xml:space="preserve">B. Network İzolasyonu</w:t>
      </w:r>
    </w:p>
    <w:p>
      <w:pPr>
        <w:spacing w:after="60" w:line="240"/>
        <w:ind/>
        <w:jc w:val="both"/>
      </w:pPr>
      <w:r>
        <w:rPr>
          <w:rFonts w:ascii="Times New Roman" w:cs="Times New Roman" w:eastAsia="Times New Roman" w:hAnsi="Times New Roman"/>
          <w:sz w:val="20"/>
          <w:szCs w:val="20"/>
        </w:rPr>
        <w:t xml:space="preserve">Sistem iki ayrı Docker network kullanmaktadır: public-network (Dispatcher ve Grafana) ve internal-network (tüm servisler + MongoDB). Internal network </w:t>
      </w:r>
      <w:r>
        <w:rPr>
          <w:rFonts w:ascii="Times New Roman" w:cs="Times New Roman" w:eastAsia="Times New Roman" w:hAnsi="Times New Roman"/>
          <w:b/>
          <w:bCs/>
          <w:sz w:val="20"/>
          <w:szCs w:val="20"/>
        </w:rPr>
        <w:t xml:space="preserve">internal: true</w:t>
      </w:r>
      <w:r>
        <w:rPr>
          <w:rFonts w:ascii="Times New Roman" w:cs="Times New Roman" w:eastAsia="Times New Roman" w:hAnsi="Times New Roman"/>
          <w:sz w:val="20"/>
          <w:szCs w:val="20"/>
        </w:rPr>
        <w:t xml:space="preserve"> olarak işaretlenmiş olup, dışarıdan doğrudan erişim engellenmiştir. Bu sayede Auth, Product ve Order servisleri yalnızca Dispatcher üzerinden erişilebilir.</w:t>
      </w:r>
    </w:p>
    <w:p>
      <w:pPr>
        <w:spacing w:after="60" w:before="180"/>
      </w:pPr>
      <w:r>
        <w:rPr>
          <w:rFonts w:ascii="Times New Roman" w:cs="Times New Roman" w:eastAsia="Times New Roman" w:hAnsi="Times New Roman"/>
          <w:b/>
          <w:bCs/>
          <w:i/>
          <w:iCs/>
          <w:sz w:val="20"/>
          <w:szCs w:val="20"/>
        </w:rPr>
        <w:t xml:space="preserve">C. Middleware Pipeline</w:t>
      </w:r>
    </w:p>
    <w:p>
      <w:pPr>
        <w:spacing w:after="60" w:line="240"/>
        <w:ind/>
        <w:jc w:val="both"/>
      </w:pPr>
      <w:r>
        <w:rPr>
          <w:rFonts w:ascii="Times New Roman" w:cs="Times New Roman" w:eastAsia="Times New Roman" w:hAnsi="Times New Roman"/>
          <w:sz w:val="20"/>
          <w:szCs w:val="20"/>
        </w:rPr>
        <w:t xml:space="preserve">Dispatcher’daki middleware sıralaması güvenlik açısından kritik önem taşımaktadır. İstekler sırasıyla şu aşamalardan geçer: CORS, JSON parsing, internal header stripping, rate limiting, metrics toplama, health/metrics route, logging, JWT authentication, role-based authorization, order orchestration, log router, proxy forwarding ve global error handler.</w:t>
      </w:r>
    </w:p>
    <w:p>
      <w:pPr>
        <w:spacing w:after="60" w:before="180"/>
      </w:pPr>
      <w:r>
        <w:rPr>
          <w:rFonts w:ascii="Times New Roman" w:cs="Times New Roman" w:eastAsia="Times New Roman" w:hAnsi="Times New Roman"/>
          <w:b/>
          <w:bCs/>
          <w:i/>
          <w:iCs/>
          <w:sz w:val="20"/>
          <w:szCs w:val="20"/>
        </w:rPr>
        <w:t xml:space="preserve">D. Sipariş Orkestrasyon (Saga Pattern)</w:t>
      </w:r>
    </w:p>
    <w:p>
      <w:pPr>
        <w:spacing w:after="60" w:line="240"/>
        <w:ind/>
        <w:jc w:val="both"/>
      </w:pPr>
      <w:r>
        <w:rPr>
          <w:rFonts w:ascii="Times New Roman" w:cs="Times New Roman" w:eastAsia="Times New Roman" w:hAnsi="Times New Roman"/>
          <w:sz w:val="20"/>
          <w:szCs w:val="20"/>
        </w:rPr>
        <w:t xml:space="preserve">Sipariş oluşturma, birden fazla servisi koordine eden bir Saga akışı ile gerçekleştirilmektedir. Her ürün için Product Service’den stok kontrolü yapılır, stok düşürülür, veri zenginleştirmesi (productName, unitPrice, totalPrice) uygulanır ve Order Service’e sipariş oluşturulur. Herhangi bir aşamada hata oluşması durumunda o ana kadar düşürülen stoklar geri eklenir (compensating transaction).</w:t>
      </w:r>
    </w:p>
    <w:p>
      <w:pPr>
        <w:spacing w:after="120" w:before="240"/>
        <w:jc w:val="center"/>
      </w:pPr>
      <w:r>
        <w:rPr>
          <w:rFonts w:ascii="Times New Roman" w:cs="Times New Roman" w:eastAsia="Times New Roman" w:hAnsi="Times New Roman"/>
          <w:b/>
          <w:bCs/>
          <w:sz w:val="20"/>
          <w:szCs w:val="20"/>
        </w:rPr>
        <w:t xml:space="preserve">IV. UYGULAMA</w:t>
      </w:r>
    </w:p>
    <w:p>
      <w:pPr>
        <w:spacing w:after="60" w:before="180"/>
      </w:pPr>
      <w:r>
        <w:rPr>
          <w:rFonts w:ascii="Times New Roman" w:cs="Times New Roman" w:eastAsia="Times New Roman" w:hAnsi="Times New Roman"/>
          <w:b/>
          <w:bCs/>
          <w:i/>
          <w:iCs/>
          <w:sz w:val="20"/>
          <w:szCs w:val="20"/>
        </w:rPr>
        <w:t xml:space="preserve">A. Kullanılan Teknolojiler</w:t>
      </w:r>
    </w:p>
    <w:tbl>
      <w:tblPr>
        <w:tblW w:type="dxa" w:w="5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100"/>
      </w:tblGrid>
      <w:tr>
        <w:tc>
          <w:tcPr>
            <w:tcW w:type="dxa" w:w="2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jc w:val="center"/>
            </w:pPr>
            <w:r>
              <w:rPr>
                <w:rFonts w:ascii="Times New Roman" w:cs="Times New Roman" w:eastAsia="Times New Roman" w:hAnsi="Times New Roman"/>
                <w:b/>
                <w:bCs/>
                <w:sz w:val="16"/>
                <w:szCs w:val="16"/>
              </w:rPr>
              <w:t xml:space="preserve">Bileşen</w:t>
            </w:r>
          </w:p>
        </w:tc>
        <w:tc>
          <w:tcPr>
            <w:tcW w:type="dxa" w:w="2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jc w:val="center"/>
            </w:pPr>
            <w:r>
              <w:rPr>
                <w:rFonts w:ascii="Times New Roman" w:cs="Times New Roman" w:eastAsia="Times New Roman" w:hAnsi="Times New Roman"/>
                <w:b/>
                <w:bCs/>
                <w:sz w:val="16"/>
                <w:szCs w:val="16"/>
              </w:rPr>
              <w:t xml:space="preserve">Teknoloji</w:t>
            </w:r>
          </w:p>
        </w:tc>
        <w:tc>
          <w:tcPr>
            <w:tcW w:type="dxa" w:w="11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jc w:val="center"/>
            </w:pPr>
            <w:r>
              <w:rPr>
                <w:rFonts w:ascii="Times New Roman" w:cs="Times New Roman" w:eastAsia="Times New Roman" w:hAnsi="Times New Roman"/>
                <w:b/>
                <w:bCs/>
                <w:sz w:val="16"/>
                <w:szCs w:val="16"/>
              </w:rPr>
              <w:t xml:space="preserve">Versiyon</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6"/>
                <w:szCs w:val="16"/>
              </w:rPr>
              <w:t xml:space="preserve">Runtime</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6"/>
                <w:szCs w:val="16"/>
              </w:rPr>
              <w:t xml:space="preserve">Node.js</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6"/>
                <w:szCs w:val="16"/>
              </w:rPr>
              <w:t xml:space="preserve">20+</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6"/>
                <w:szCs w:val="16"/>
              </w:rPr>
              <w:t xml:space="preserve">Dil</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6"/>
                <w:szCs w:val="16"/>
              </w:rPr>
              <w:t xml:space="preserve">TypeScript</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6"/>
                <w:szCs w:val="16"/>
              </w:rPr>
              <w:t xml:space="preserve">5.x</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6"/>
                <w:szCs w:val="16"/>
              </w:rPr>
              <w:t xml:space="preserve">Framework</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6"/>
                <w:szCs w:val="16"/>
              </w:rPr>
              <w:t xml:space="preserve">Express.js</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6"/>
                <w:szCs w:val="16"/>
              </w:rPr>
              <w:t xml:space="preserve">4.x</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6"/>
                <w:szCs w:val="16"/>
              </w:rPr>
              <w:t xml:space="preserve">Veritabanı</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6"/>
                <w:szCs w:val="16"/>
              </w:rPr>
              <w:t xml:space="preserve">MongoDB</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6"/>
                <w:szCs w:val="16"/>
              </w:rPr>
              <w:t xml:space="preserve">7.x</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6"/>
                <w:szCs w:val="16"/>
              </w:rPr>
              <w:t xml:space="preserve">Auth</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6"/>
                <w:szCs w:val="16"/>
              </w:rPr>
              <w:t xml:space="preserve">JWT</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6"/>
                <w:szCs w:val="16"/>
              </w:rPr>
              <w:t xml:space="preserve">9.x</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6"/>
                <w:szCs w:val="16"/>
              </w:rPr>
              <w:t xml:space="preserve">Test</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6"/>
                <w:szCs w:val="16"/>
              </w:rPr>
              <w:t xml:space="preserve">Jest + Supertest</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6"/>
                <w:szCs w:val="16"/>
              </w:rPr>
              <w:t xml:space="preserve">29.x</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6"/>
                <w:szCs w:val="16"/>
              </w:rPr>
              <w:t xml:space="preserve">Monitoring</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6"/>
                <w:szCs w:val="16"/>
              </w:rPr>
              <w:t xml:space="preserve">Prometheus + Grafana</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6"/>
                <w:szCs w:val="16"/>
              </w:rPr>
              <w:t xml:space="preserve">Latest</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6"/>
                <w:szCs w:val="16"/>
              </w:rPr>
              <w:t xml:space="preserve">Yük Testi</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6"/>
                <w:szCs w:val="16"/>
              </w:rPr>
              <w:t xml:space="preserve">k6</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6"/>
                <w:szCs w:val="16"/>
              </w:rPr>
              <w:t xml:space="preserve">Latest</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6"/>
                <w:szCs w:val="16"/>
              </w:rPr>
              <w:t xml:space="preserve">Container</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6"/>
                <w:szCs w:val="16"/>
              </w:rPr>
              <w:t xml:space="preserve">Docker Compose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6"/>
                <w:szCs w:val="16"/>
              </w:rPr>
              <w:t xml:space="preserve">Latest</w:t>
            </w:r>
          </w:p>
        </w:tc>
      </w:tr>
    </w:tbl>
    <w:p>
      <w:pPr>
        <w:spacing w:after="120"/>
        <w:jc w:val="center"/>
      </w:pPr>
      <w:r>
        <w:rPr>
          <w:rFonts w:ascii="Times New Roman" w:cs="Times New Roman" w:eastAsia="Times New Roman" w:hAnsi="Times New Roman"/>
          <w:i/>
          <w:iCs/>
          <w:sz w:val="16"/>
          <w:szCs w:val="16"/>
        </w:rPr>
        <w:t xml:space="preserve">Tablo I: Kullanılan Teknolojiler</w:t>
      </w:r>
    </w:p>
    <w:p>
      <w:pPr>
        <w:spacing w:after="60" w:before="180"/>
      </w:pPr>
      <w:r>
        <w:rPr>
          <w:rFonts w:ascii="Times New Roman" w:cs="Times New Roman" w:eastAsia="Times New Roman" w:hAnsi="Times New Roman"/>
          <w:b/>
          <w:bCs/>
          <w:i/>
          <w:iCs/>
          <w:sz w:val="20"/>
          <w:szCs w:val="20"/>
        </w:rPr>
        <w:t xml:space="preserve">B. Dispatcher Servisi (API Gateway)</w:t>
      </w:r>
    </w:p>
    <w:p>
      <w:pPr>
        <w:spacing w:after="60" w:line="240"/>
        <w:ind/>
        <w:jc w:val="both"/>
      </w:pPr>
      <w:r>
        <w:rPr>
          <w:rFonts w:ascii="Times New Roman" w:cs="Times New Roman" w:eastAsia="Times New Roman" w:hAnsi="Times New Roman"/>
          <w:sz w:val="20"/>
          <w:szCs w:val="20"/>
        </w:rPr>
        <w:t xml:space="preserve">Dispatcher, sistemin kalbi olup tüm dış istekleri karşılar. Composition root pattern ile app.ts dosyasında tüm middleware’ler ve route’lar bir araya getirilmiştir. JWT ile kimlik doğrulama, MongoDB tabanlı route kuralları ile yetkilendirme (public/protected/admin), Winston ile loglama, prom-client ile 5 farklı metrik toplama ve axios tabanlı reverse proxy işlevleri sunmaktadır.</w:t>
      </w:r>
    </w:p>
    <w:p>
      <w:pPr>
        <w:spacing w:after="60" w:before="180"/>
      </w:pPr>
      <w:r>
        <w:rPr>
          <w:rFonts w:ascii="Times New Roman" w:cs="Times New Roman" w:eastAsia="Times New Roman" w:hAnsi="Times New Roman"/>
          <w:b/>
          <w:bCs/>
          <w:i/>
          <w:iCs/>
          <w:sz w:val="20"/>
          <w:szCs w:val="20"/>
        </w:rPr>
        <w:t xml:space="preserve">C. Auth, Product ve Order Servisleri</w:t>
      </w:r>
    </w:p>
    <w:p>
      <w:pPr>
        <w:spacing w:after="60" w:line="240"/>
        <w:ind/>
        <w:jc w:val="both"/>
      </w:pPr>
      <w:r>
        <w:rPr>
          <w:rFonts w:ascii="Times New Roman" w:cs="Times New Roman" w:eastAsia="Times New Roman" w:hAnsi="Times New Roman"/>
          <w:sz w:val="20"/>
          <w:szCs w:val="20"/>
        </w:rPr>
        <w:t xml:space="preserve">Auth Service: Kullanıcı kayıt, giriş ve profil işlemleri. Zod ile validasyon, bcrypt ile şifre hashleme. Product Service: Ürün ve kategori CRUD, stok yönetimi, pagination desteği. Order Service: Sipariş CRUD ve durum yönetimi (state machine: pending → confirmed → shipped → delivered, pending → cancelled).</w:t>
      </w:r>
    </w:p>
    <w:p>
      <w:pPr>
        <w:spacing w:after="60" w:before="180"/>
      </w:pPr>
      <w:r>
        <w:rPr>
          <w:rFonts w:ascii="Times New Roman" w:cs="Times New Roman" w:eastAsia="Times New Roman" w:hAnsi="Times New Roman"/>
          <w:b/>
          <w:bCs/>
          <w:i/>
          <w:iCs/>
          <w:sz w:val="20"/>
          <w:szCs w:val="20"/>
        </w:rPr>
        <w:t xml:space="preserve">D. Monitoring Altyapısı</w:t>
      </w:r>
    </w:p>
    <w:p>
      <w:pPr>
        <w:spacing w:after="60" w:line="240"/>
        <w:ind/>
        <w:jc w:val="both"/>
      </w:pPr>
      <w:r>
        <w:rPr>
          <w:rFonts w:ascii="Times New Roman" w:cs="Times New Roman" w:eastAsia="Times New Roman" w:hAnsi="Times New Roman"/>
          <w:sz w:val="20"/>
          <w:szCs w:val="20"/>
        </w:rPr>
        <w:t xml:space="preserve">Prometheus, Dispatcher’dan 5 saniye aralıklarla metrik toplamaktadır. Toplanan metrikler: http_requests_total (Counter), http_request_duration_seconds (Histogram), http_requests_by_service (Counter), http_errors_total (Counter) ve active_connections (Gauge). Grafana’da 4 dashboard otomatik olarak provision edilmektedir: Traffic Overview, Per-Service Metrics, Error Analysis ve Load Test Results.</w:t>
      </w:r>
    </w:p>
    <w:p>
      <w:pPr>
        <w:spacing w:after="120" w:before="240"/>
        <w:jc w:val="center"/>
      </w:pPr>
      <w:r>
        <w:rPr>
          <w:rFonts w:ascii="Times New Roman" w:cs="Times New Roman" w:eastAsia="Times New Roman" w:hAnsi="Times New Roman"/>
          <w:b/>
          <w:bCs/>
          <w:sz w:val="20"/>
          <w:szCs w:val="20"/>
        </w:rPr>
        <w:t xml:space="preserve">V. TEST VE DOĞRULAMA</w:t>
      </w:r>
    </w:p>
    <w:p>
      <w:pPr>
        <w:spacing w:after="60" w:before="180"/>
      </w:pPr>
      <w:r>
        <w:rPr>
          <w:rFonts w:ascii="Times New Roman" w:cs="Times New Roman" w:eastAsia="Times New Roman" w:hAnsi="Times New Roman"/>
          <w:b/>
          <w:bCs/>
          <w:i/>
          <w:iCs/>
          <w:sz w:val="20"/>
          <w:szCs w:val="20"/>
        </w:rPr>
        <w:t xml:space="preserve">A. TDD ile Geliştirme</w:t>
      </w:r>
    </w:p>
    <w:p>
      <w:pPr>
        <w:spacing w:after="60" w:line="240"/>
        <w:ind/>
        <w:jc w:val="both"/>
      </w:pPr>
      <w:r>
        <w:rPr>
          <w:rFonts w:ascii="Times New Roman" w:cs="Times New Roman" w:eastAsia="Times New Roman" w:hAnsi="Times New Roman"/>
          <w:sz w:val="20"/>
          <w:szCs w:val="20"/>
        </w:rPr>
        <w:t xml:space="preserve">Dispatcher servisi 11 TDD cycle ile geliştirilmiştir. Her cycle için RED (test), GREEN (implementasyon) ve REFACTOR (iyileştirme) olmak üzere 3 commit atılmıştır (toplam 33 TDD commit). Geliştirilen özellikler sırasıyla: Health Check, Service Registry, Proxy Middleware, JWT Authentication, Authorization, Logging, Error Handler, Rate Limiting, Prometheus Metrics, Log Endpoint ve Order Orchestration.</w:t>
      </w:r>
    </w:p>
    <w:p>
      <w:pPr>
        <w:spacing w:after="60" w:before="180"/>
      </w:pPr>
      <w:r>
        <w:rPr>
          <w:rFonts w:ascii="Times New Roman" w:cs="Times New Roman" w:eastAsia="Times New Roman" w:hAnsi="Times New Roman"/>
          <w:b/>
          <w:bCs/>
          <w:i/>
          <w:iCs/>
          <w:sz w:val="20"/>
          <w:szCs w:val="20"/>
        </w:rPr>
        <w:t xml:space="preserve">B. Birim ve Entegrasyon Testleri</w:t>
      </w:r>
    </w:p>
    <w:p>
      <w:pPr>
        <w:spacing w:after="60" w:line="240"/>
        <w:ind/>
        <w:jc w:val="both"/>
      </w:pPr>
      <w:r>
        <w:rPr>
          <w:rFonts w:ascii="Times New Roman" w:cs="Times New Roman" w:eastAsia="Times New Roman" w:hAnsi="Times New Roman"/>
          <w:sz w:val="20"/>
          <w:szCs w:val="20"/>
        </w:rPr>
        <w:t xml:space="preserve">Dispatcher servisi için 11 test dosyasında toplam 114 test yazılmıştır. Jest ve Supertest kütüphaneleri kullanılmıştır. Projenin tamamında (4 servis) toplam 376 test mevcuttur.</w:t>
      </w:r>
    </w:p>
    <w:tbl>
      <w:tblPr>
        <w:tblW w:type="dxa" w:w="5100"/>
        <w:tblBorders>
          <w:top w:val="single" w:color="auto" w:sz="4"/>
          <w:left w:val="single" w:color="auto" w:sz="4"/>
          <w:bottom w:val="single" w:color="auto" w:sz="4"/>
          <w:right w:val="single" w:color="auto" w:sz="4"/>
          <w:insideH w:val="single" w:color="auto" w:sz="4"/>
          <w:insideV w:val="single" w:color="auto" w:sz="4"/>
        </w:tblBorders>
      </w:tblPr>
      <w:tblGrid>
        <w:gridCol w:w="2000"/>
        <w:gridCol w:w="1550"/>
        <w:gridCol w:w="1550"/>
      </w:tblGrid>
      <w:tr>
        <w:tc>
          <w:tcPr>
            <w:tcW w:type="dxa" w:w="2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jc w:val="center"/>
            </w:pPr>
            <w:r>
              <w:rPr>
                <w:rFonts w:ascii="Times New Roman" w:cs="Times New Roman" w:eastAsia="Times New Roman" w:hAnsi="Times New Roman"/>
                <w:b/>
                <w:bCs/>
                <w:sz w:val="16"/>
                <w:szCs w:val="16"/>
              </w:rPr>
              <w:t xml:space="preserve">Servis</w:t>
            </w:r>
          </w:p>
        </w:tc>
        <w:tc>
          <w:tcPr>
            <w:tcW w:type="dxa" w:w="155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jc w:val="center"/>
            </w:pPr>
            <w:r>
              <w:rPr>
                <w:rFonts w:ascii="Times New Roman" w:cs="Times New Roman" w:eastAsia="Times New Roman" w:hAnsi="Times New Roman"/>
                <w:b/>
                <w:bCs/>
                <w:sz w:val="16"/>
                <w:szCs w:val="16"/>
              </w:rPr>
              <w:t xml:space="preserve">Test Sayısı</w:t>
            </w:r>
          </w:p>
        </w:tc>
        <w:tc>
          <w:tcPr>
            <w:tcW w:type="dxa" w:w="155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jc w:val="center"/>
            </w:pPr>
            <w:r>
              <w:rPr>
                <w:rFonts w:ascii="Times New Roman" w:cs="Times New Roman" w:eastAsia="Times New Roman" w:hAnsi="Times New Roman"/>
                <w:b/>
                <w:bCs/>
                <w:sz w:val="16"/>
                <w:szCs w:val="16"/>
              </w:rPr>
              <w:t xml:space="preserve">Coverage</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6"/>
                <w:szCs w:val="16"/>
              </w:rPr>
              <w:t xml:space="preserve">Dispatcher</w:t>
            </w:r>
          </w:p>
        </w:tc>
        <w:tc>
          <w:tcPr>
            <w:tcW w:type="dxa" w:w="15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6"/>
                <w:szCs w:val="16"/>
              </w:rPr>
              <w:t xml:space="preserve">114</w:t>
            </w:r>
          </w:p>
        </w:tc>
        <w:tc>
          <w:tcPr>
            <w:tcW w:type="dxa" w:w="15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6"/>
                <w:szCs w:val="16"/>
              </w:rPr>
              <w:t xml:space="preserve">%80+</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6"/>
                <w:szCs w:val="16"/>
              </w:rPr>
              <w:t xml:space="preserve">Auth</w:t>
            </w:r>
          </w:p>
        </w:tc>
        <w:tc>
          <w:tcPr>
            <w:tcW w:type="dxa" w:w="15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6"/>
                <w:szCs w:val="16"/>
              </w:rPr>
              <w:t xml:space="preserve">36</w:t>
            </w:r>
          </w:p>
        </w:tc>
        <w:tc>
          <w:tcPr>
            <w:tcW w:type="dxa" w:w="15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6"/>
                <w:szCs w:val="16"/>
              </w:rPr>
              <w:t xml:space="preserve">%99</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6"/>
                <w:szCs w:val="16"/>
              </w:rPr>
              <w:t xml:space="preserve">Product</w:t>
            </w:r>
          </w:p>
        </w:tc>
        <w:tc>
          <w:tcPr>
            <w:tcW w:type="dxa" w:w="15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6"/>
                <w:szCs w:val="16"/>
              </w:rPr>
              <w:t xml:space="preserve">148</w:t>
            </w:r>
          </w:p>
        </w:tc>
        <w:tc>
          <w:tcPr>
            <w:tcW w:type="dxa" w:w="15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6"/>
                <w:szCs w:val="16"/>
              </w:rPr>
              <w:t xml:space="preserve">%99</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6"/>
                <w:szCs w:val="16"/>
              </w:rPr>
              <w:t xml:space="preserve">Order</w:t>
            </w:r>
          </w:p>
        </w:tc>
        <w:tc>
          <w:tcPr>
            <w:tcW w:type="dxa" w:w="15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6"/>
                <w:szCs w:val="16"/>
              </w:rPr>
              <w:t xml:space="preserve">78</w:t>
            </w:r>
          </w:p>
        </w:tc>
        <w:tc>
          <w:tcPr>
            <w:tcW w:type="dxa" w:w="15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6"/>
                <w:szCs w:val="16"/>
              </w:rPr>
              <w:t xml:space="preserve">%95</w:t>
            </w:r>
          </w:p>
        </w:tc>
      </w:tr>
    </w:tbl>
    <w:p>
      <w:pPr>
        <w:spacing w:after="120"/>
        <w:jc w:val="center"/>
      </w:pPr>
      <w:r>
        <w:rPr>
          <w:rFonts w:ascii="Times New Roman" w:cs="Times New Roman" w:eastAsia="Times New Roman" w:hAnsi="Times New Roman"/>
          <w:i/>
          <w:iCs/>
          <w:sz w:val="16"/>
          <w:szCs w:val="16"/>
        </w:rPr>
        <w:t xml:space="preserve">Tablo II: Test Kapsamı</w:t>
      </w:r>
    </w:p>
    <w:p>
      <w:pPr>
        <w:spacing w:after="60" w:before="180"/>
      </w:pPr>
      <w:r>
        <w:rPr>
          <w:rFonts w:ascii="Times New Roman" w:cs="Times New Roman" w:eastAsia="Times New Roman" w:hAnsi="Times New Roman"/>
          <w:b/>
          <w:bCs/>
          <w:i/>
          <w:iCs/>
          <w:sz w:val="20"/>
          <w:szCs w:val="20"/>
        </w:rPr>
        <w:t xml:space="preserve">C. k6 Yük Testleri</w:t>
      </w:r>
    </w:p>
    <w:p>
      <w:pPr>
        <w:spacing w:after="60" w:line="240"/>
        <w:jc w:val="both"/>
      </w:pPr>
      <w:r>
        <w:rPr>
          <w:rFonts w:ascii="Times New Roman" w:cs="Times New Roman" w:eastAsia="Times New Roman" w:hAnsi="Times New Roman"/>
          <w:sz w:val="20"/>
          <w:szCs w:val="20"/>
        </w:rPr>
        <w:t xml:space="preserve">Sistemin performansını ölçmek için dört farklı k6 test senaryosu hazırlanmıştır:</w:t>
      </w:r>
    </w:p>
    <w:p>
      <w:pPr>
        <w:spacing w:after="4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Smoke Test: 5 VU, 30 saniye — temel endpoint doğrulama</w:t>
      </w:r>
    </w:p>
    <w:p>
      <w:pPr>
        <w:spacing w:after="4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Load Test: 50 VU, 1 dakika — ağırlıklı rastgele senaryolar</w:t>
      </w:r>
    </w:p>
    <w:p>
      <w:pPr>
        <w:spacing w:after="4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Stress Test: 50→500 VU ramp-up, 4.5 dakika — kırılma noktası testi</w:t>
      </w:r>
    </w:p>
    <w:p>
      <w:pPr>
        <w:spacing w:after="4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Routing Accuracy: 1 VU, 1 iterasyon — 20 route kuralının doğruluğu</w:t>
      </w:r>
    </w:p>
    <w:tbl>
      <w:tblPr>
        <w:tblW w:type="dxa" w:w="510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1100"/>
        <w:gridCol w:w="1100"/>
        <w:gridCol w:w="900"/>
      </w:tblGrid>
      <w:tr>
        <w:tc>
          <w:tcPr>
            <w:tcW w:type="dxa" w:w="1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jc w:val="center"/>
            </w:pPr>
            <w:r>
              <w:rPr>
                <w:rFonts w:ascii="Times New Roman" w:cs="Times New Roman" w:eastAsia="Times New Roman" w:hAnsi="Times New Roman"/>
                <w:b/>
                <w:bCs/>
                <w:sz w:val="16"/>
                <w:szCs w:val="16"/>
              </w:rPr>
              <w:t xml:space="preserve">Test</w:t>
            </w:r>
          </w:p>
        </w:tc>
        <w:tc>
          <w:tcPr>
            <w:tcW w:type="dxa" w:w="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jc w:val="center"/>
            </w:pPr>
            <w:r>
              <w:rPr>
                <w:rFonts w:ascii="Times New Roman" w:cs="Times New Roman" w:eastAsia="Times New Roman" w:hAnsi="Times New Roman"/>
                <w:b/>
                <w:bCs/>
                <w:sz w:val="16"/>
                <w:szCs w:val="16"/>
              </w:rPr>
              <w:t xml:space="preserve">VU</w:t>
            </w:r>
          </w:p>
        </w:tc>
        <w:tc>
          <w:tcPr>
            <w:tcW w:type="dxa" w:w="11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jc w:val="center"/>
            </w:pPr>
            <w:r>
              <w:rPr>
                <w:rFonts w:ascii="Times New Roman" w:cs="Times New Roman" w:eastAsia="Times New Roman" w:hAnsi="Times New Roman"/>
                <w:b/>
                <w:bCs/>
                <w:sz w:val="16"/>
                <w:szCs w:val="16"/>
              </w:rPr>
              <w:t xml:space="preserve">Süre</w:t>
            </w:r>
          </w:p>
        </w:tc>
        <w:tc>
          <w:tcPr>
            <w:tcW w:type="dxa" w:w="11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jc w:val="center"/>
            </w:pPr>
            <w:r>
              <w:rPr>
                <w:rFonts w:ascii="Times New Roman" w:cs="Times New Roman" w:eastAsia="Times New Roman" w:hAnsi="Times New Roman"/>
                <w:b/>
                <w:bCs/>
                <w:sz w:val="16"/>
                <w:szCs w:val="16"/>
              </w:rPr>
              <w:t xml:space="preserve">p(95) Eşik</w:t>
            </w:r>
          </w:p>
        </w:tc>
        <w:tc>
          <w:tcPr>
            <w:tcW w:type="dxa" w:w="9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jc w:val="center"/>
            </w:pPr>
            <w:r>
              <w:rPr>
                <w:rFonts w:ascii="Times New Roman" w:cs="Times New Roman" w:eastAsia="Times New Roman" w:hAnsi="Times New Roman"/>
                <w:b/>
                <w:bCs/>
                <w:sz w:val="16"/>
                <w:szCs w:val="16"/>
              </w:rPr>
              <w:t xml:space="preserve">Hata %</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6"/>
                <w:szCs w:val="16"/>
              </w:rPr>
              <w:t xml:space="preserve">Smoke</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6"/>
                <w:szCs w:val="16"/>
              </w:rPr>
              <w:t xml:space="preserve">5</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6"/>
                <w:szCs w:val="16"/>
              </w:rPr>
              <w:t xml:space="preserve">30s</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6"/>
                <w:szCs w:val="16"/>
              </w:rPr>
              <w:t xml:space="preserve">&lt; 500ms</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6"/>
                <w:szCs w:val="16"/>
              </w:rPr>
              <w:t xml:space="preserve">&lt; 1%</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6"/>
                <w:szCs w:val="16"/>
              </w:rPr>
              <w:t xml:space="preserve">Load</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6"/>
                <w:szCs w:val="16"/>
              </w:rPr>
              <w:t xml:space="preserve">50</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6"/>
                <w:szCs w:val="16"/>
              </w:rPr>
              <w:t xml:space="preserve">1m</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6"/>
                <w:szCs w:val="16"/>
              </w:rPr>
              <w:t xml:space="preserve">&lt; 1000ms</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6"/>
                <w:szCs w:val="16"/>
              </w:rPr>
              <w:t xml:space="preserve">&lt; 5%</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6"/>
                <w:szCs w:val="16"/>
              </w:rPr>
              <w:t xml:space="preserve">Stress</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6"/>
                <w:szCs w:val="16"/>
              </w:rPr>
              <w:t xml:space="preserve">50→500</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6"/>
                <w:szCs w:val="16"/>
              </w:rPr>
              <w:t xml:space="preserve">4.5m</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6"/>
                <w:szCs w:val="16"/>
              </w:rPr>
              <w:t xml:space="preserve">&lt; 3000ms</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6"/>
                <w:szCs w:val="16"/>
              </w:rPr>
              <w:t xml:space="preserve">&lt; 15%</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6"/>
                <w:szCs w:val="16"/>
              </w:rPr>
              <w:t xml:space="preserve">Routing</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6"/>
                <w:szCs w:val="16"/>
              </w:rPr>
              <w:t xml:space="preserve">1</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6"/>
                <w:szCs w:val="16"/>
              </w:rPr>
              <w:t xml:space="preserve">1 iter</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6"/>
                <w:szCs w:val="16"/>
              </w:rPr>
              <w:t xml:space="preserve">-</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6"/>
                <w:szCs w:val="16"/>
              </w:rPr>
              <w:t xml:space="preserve">0%</w:t>
            </w:r>
          </w:p>
        </w:tc>
      </w:tr>
    </w:tbl>
    <w:p>
      <w:pPr>
        <w:spacing w:after="120"/>
        <w:jc w:val="center"/>
      </w:pPr>
      <w:r>
        <w:rPr>
          <w:rFonts w:ascii="Times New Roman" w:cs="Times New Roman" w:eastAsia="Times New Roman" w:hAnsi="Times New Roman"/>
          <w:i/>
          <w:iCs/>
          <w:sz w:val="16"/>
          <w:szCs w:val="16"/>
        </w:rPr>
        <w:t xml:space="preserve">Tablo III: k6 Yük Test Senaryoları</w:t>
      </w:r>
    </w:p>
    <w:p>
      <w:pPr>
        <w:spacing w:after="60" w:before="180"/>
      </w:pPr>
      <w:r>
        <w:rPr>
          <w:rFonts w:ascii="Times New Roman" w:cs="Times New Roman" w:eastAsia="Times New Roman" w:hAnsi="Times New Roman"/>
          <w:b/>
          <w:bCs/>
          <w:i/>
          <w:iCs/>
          <w:sz w:val="20"/>
          <w:szCs w:val="20"/>
        </w:rPr>
        <w:t xml:space="preserve">D. Karmaşıklık Analizi</w:t>
      </w:r>
    </w:p>
    <w:tbl>
      <w:tblPr>
        <w:tblW w:type="dxa" w:w="51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700"/>
      </w:tblGrid>
      <w:tr>
        <w:tc>
          <w:tcPr>
            <w:tcW w:type="dxa" w:w="2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jc w:val="center"/>
            </w:pPr>
            <w:r>
              <w:rPr>
                <w:rFonts w:ascii="Times New Roman" w:cs="Times New Roman" w:eastAsia="Times New Roman" w:hAnsi="Times New Roman"/>
                <w:b/>
                <w:bCs/>
                <w:sz w:val="16"/>
                <w:szCs w:val="16"/>
              </w:rPr>
              <w:t xml:space="preserve">İşlem</w:t>
            </w:r>
          </w:p>
        </w:tc>
        <w:tc>
          <w:tcPr>
            <w:tcW w:type="dxa" w:w="1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jc w:val="center"/>
            </w:pPr>
            <w:r>
              <w:rPr>
                <w:rFonts w:ascii="Times New Roman" w:cs="Times New Roman" w:eastAsia="Times New Roman" w:hAnsi="Times New Roman"/>
                <w:b/>
                <w:bCs/>
                <w:sz w:val="16"/>
                <w:szCs w:val="16"/>
              </w:rPr>
              <w:t xml:space="preserve">Big-O</w:t>
            </w:r>
          </w:p>
        </w:tc>
        <w:tc>
          <w:tcPr>
            <w:tcW w:type="dxa" w:w="17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jc w:val="center"/>
            </w:pPr>
            <w:r>
              <w:rPr>
                <w:rFonts w:ascii="Times New Roman" w:cs="Times New Roman" w:eastAsia="Times New Roman" w:hAnsi="Times New Roman"/>
                <w:b/>
                <w:bCs/>
                <w:sz w:val="16"/>
                <w:szCs w:val="16"/>
              </w:rPr>
              <w:t xml:space="preserve">Açıklama</w:t>
            </w:r>
          </w:p>
        </w:tc>
      </w:tr>
      <w:t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6"/>
                <w:szCs w:val="16"/>
              </w:rPr>
              <w:t xml:space="preserve">Ürün listeleme</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6"/>
                <w:szCs w:val="16"/>
              </w:rPr>
              <w:t xml:space="preserve">O(n)</w:t>
            </w:r>
          </w:p>
        </w:tc>
        <w:tc>
          <w:tcPr>
            <w:tcW w:type="dxa" w:w="1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6"/>
                <w:szCs w:val="16"/>
              </w:rPr>
              <w:t xml:space="preserve">n = limit</w:t>
            </w:r>
          </w:p>
        </w:tc>
      </w:tr>
      <w:t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6"/>
                <w:szCs w:val="16"/>
              </w:rPr>
              <w:t xml:space="preserve">Sipariş oluşturma</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6"/>
                <w:szCs w:val="16"/>
              </w:rPr>
              <w:t xml:space="preserve">O(m)</w:t>
            </w:r>
          </w:p>
        </w:tc>
        <w:tc>
          <w:tcPr>
            <w:tcW w:type="dxa" w:w="1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6"/>
                <w:szCs w:val="16"/>
              </w:rPr>
              <w:t xml:space="preserve">m = item sayısı</w:t>
            </w:r>
          </w:p>
        </w:tc>
      </w:tr>
      <w:t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6"/>
                <w:szCs w:val="16"/>
              </w:rPr>
              <w:t xml:space="preserve">JWT doğrulama</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6"/>
                <w:szCs w:val="16"/>
              </w:rPr>
              <w:t xml:space="preserve">O(1)</w:t>
            </w:r>
          </w:p>
        </w:tc>
        <w:tc>
          <w:tcPr>
            <w:tcW w:type="dxa" w:w="1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6"/>
                <w:szCs w:val="16"/>
              </w:rPr>
              <w:t xml:space="preserve">Sabit zamanlı</w:t>
            </w:r>
          </w:p>
        </w:tc>
      </w:tr>
      <w:t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6"/>
                <w:szCs w:val="16"/>
              </w:rPr>
              <w:t xml:space="preserve">Rate limiting</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6"/>
                <w:szCs w:val="16"/>
              </w:rPr>
              <w:t xml:space="preserve">O(1)</w:t>
            </w:r>
          </w:p>
        </w:tc>
        <w:tc>
          <w:tcPr>
            <w:tcW w:type="dxa" w:w="1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6"/>
                <w:szCs w:val="16"/>
              </w:rPr>
              <w:t xml:space="preserve">Map lookup</w:t>
            </w:r>
          </w:p>
        </w:tc>
      </w:tr>
      <w:t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6"/>
                <w:szCs w:val="16"/>
              </w:rPr>
              <w:t xml:space="preserve">Route eşleştirme</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6"/>
                <w:szCs w:val="16"/>
              </w:rPr>
              <w:t xml:space="preserve">O(r)</w:t>
            </w:r>
          </w:p>
        </w:tc>
        <w:tc>
          <w:tcPr>
            <w:tcW w:type="dxa" w:w="1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6"/>
                <w:szCs w:val="16"/>
              </w:rPr>
              <w:t xml:space="preserve">r = kural sayısı</w:t>
            </w:r>
          </w:p>
        </w:tc>
      </w:tr>
    </w:tbl>
    <w:p>
      <w:pPr>
        <w:spacing w:after="120"/>
        <w:jc w:val="center"/>
      </w:pPr>
      <w:r>
        <w:rPr>
          <w:rFonts w:ascii="Times New Roman" w:cs="Times New Roman" w:eastAsia="Times New Roman" w:hAnsi="Times New Roman"/>
          <w:i/>
          <w:iCs/>
          <w:sz w:val="16"/>
          <w:szCs w:val="16"/>
        </w:rPr>
        <w:t xml:space="preserve">Tablo IV: Karmaşıklık Analizi</w:t>
      </w:r>
    </w:p>
    <w:p>
      <w:pPr>
        <w:spacing w:after="120" w:before="240"/>
        <w:jc w:val="center"/>
      </w:pPr>
      <w:r>
        <w:rPr>
          <w:rFonts w:ascii="Times New Roman" w:cs="Times New Roman" w:eastAsia="Times New Roman" w:hAnsi="Times New Roman"/>
          <w:b/>
          <w:bCs/>
          <w:sz w:val="20"/>
          <w:szCs w:val="20"/>
        </w:rPr>
        <w:t xml:space="preserve">VI. SONUÇLAR VE DEĞERLENDİRME</w:t>
      </w:r>
    </w:p>
    <w:p>
      <w:pPr>
        <w:spacing w:after="60" w:before="180"/>
      </w:pPr>
      <w:r>
        <w:rPr>
          <w:rFonts w:ascii="Times New Roman" w:cs="Times New Roman" w:eastAsia="Times New Roman" w:hAnsi="Times New Roman"/>
          <w:b/>
          <w:bCs/>
          <w:i/>
          <w:iCs/>
          <w:sz w:val="20"/>
          <w:szCs w:val="20"/>
        </w:rPr>
        <w:t xml:space="preserve">A. Elde Edilen Sonuçlar</w:t>
      </w:r>
    </w:p>
    <w:p>
      <w:pPr>
        <w:spacing w:after="4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4 bağımsız mikroservis başarıyla geliştirildi ve Docker ile deploy edildi</w:t>
      </w:r>
    </w:p>
    <w:p>
      <w:pPr>
        <w:spacing w:after="4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11 TDD cycle (33 commit) ile Dispatcher servisi disiplinli şekilde geliştirildi</w:t>
      </w:r>
    </w:p>
    <w:p>
      <w:pPr>
        <w:spacing w:after="4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API Gateway pattern ile merkezi authentication, authorization, logging ve rate limiting sağlandı</w:t>
      </w:r>
    </w:p>
    <w:p>
      <w:pPr>
        <w:spacing w:after="4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Network izolasyonu ile mikroservislerin dışarıdan erişilemez olması garanti altına alındı</w:t>
      </w:r>
    </w:p>
    <w:p>
      <w:pPr>
        <w:spacing w:after="4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Saga pattern ile order orchestration ve rollback mekanizması implement edildi</w:t>
      </w:r>
    </w:p>
    <w:p>
      <w:pPr>
        <w:spacing w:after="4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Prometheus + Grafana ile 4 dashboard üzerinden canlı monitoring sağlandı</w:t>
      </w:r>
    </w:p>
    <w:p>
      <w:pPr>
        <w:spacing w:after="4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k6 ile 4 farklı yük testi senaryosu başarıyla çalıştırıldı</w:t>
      </w:r>
    </w:p>
    <w:p>
      <w:pPr>
        <w:spacing w:after="60" w:before="180"/>
      </w:pPr>
      <w:r>
        <w:rPr>
          <w:rFonts w:ascii="Times New Roman" w:cs="Times New Roman" w:eastAsia="Times New Roman" w:hAnsi="Times New Roman"/>
          <w:b/>
          <w:bCs/>
          <w:i/>
          <w:iCs/>
          <w:sz w:val="20"/>
          <w:szCs w:val="20"/>
        </w:rPr>
        <w:t xml:space="preserve">B. Karşılaşılan Zorluklar</w:t>
      </w:r>
    </w:p>
    <w:p>
      <w:pPr>
        <w:spacing w:after="60" w:line="240"/>
        <w:ind/>
        <w:jc w:val="both"/>
      </w:pPr>
      <w:r>
        <w:rPr>
          <w:rFonts w:ascii="Times New Roman" w:cs="Times New Roman" w:eastAsia="Times New Roman" w:hAnsi="Times New Roman"/>
          <w:sz w:val="20"/>
          <w:szCs w:val="20"/>
        </w:rPr>
        <w:t xml:space="preserve">Order orchestration Saga akışı en karmaşık bölüm olmuştur; birden fazla servise sırayla istek atıp hata durumunda rollback yapmak dikkatli hata yönetimi gerektirmiştir. TDD disiplini başlangıçta yavaşlatıcı olsa da uzun vadede sağlam kod üretmeyi sağlamıştır. Middleware pipeline sıralaması güvenlik açısından kritik önem taşımış olup yanlış sıralama güvenlik açıklarına yol açabilirdi.</w:t>
      </w:r>
    </w:p>
    <w:p>
      <w:pPr>
        <w:spacing w:after="60" w:before="180"/>
      </w:pPr>
      <w:r>
        <w:rPr>
          <w:rFonts w:ascii="Times New Roman" w:cs="Times New Roman" w:eastAsia="Times New Roman" w:hAnsi="Times New Roman"/>
          <w:b/>
          <w:bCs/>
          <w:i/>
          <w:iCs/>
          <w:sz w:val="20"/>
          <w:szCs w:val="20"/>
        </w:rPr>
        <w:t xml:space="preserve">C. Kısıtlamalar ve Gelecek İyileştirmeler</w:t>
      </w:r>
    </w:p>
    <w:p>
      <w:pPr>
        <w:spacing w:after="60" w:line="240"/>
        <w:ind/>
        <w:jc w:val="both"/>
      </w:pPr>
      <w:r>
        <w:rPr>
          <w:rFonts w:ascii="Times New Roman" w:cs="Times New Roman" w:eastAsia="Times New Roman" w:hAnsi="Times New Roman"/>
          <w:sz w:val="20"/>
          <w:szCs w:val="20"/>
        </w:rPr>
        <w:t xml:space="preserve">Proje kapsamında HATEOAS (Richardson Level 3) henüz implement edilmemiştir. Redis cache katmanı, RabbitMQ/Kafka ile event-driven mimari, Kubernetes ile production-grade orkestrasyon ve CI/CD pipeline gelecek iyileştirmeler olarak planlanmaktadır.</w:t>
      </w:r>
    </w:p>
    <w:p>
      <w:pPr>
        <w:spacing w:after="120" w:before="240"/>
        <w:jc w:val="center"/>
      </w:pPr>
      <w:r>
        <w:rPr>
          <w:rFonts w:ascii="Times New Roman" w:cs="Times New Roman" w:eastAsia="Times New Roman" w:hAnsi="Times New Roman"/>
          <w:b/>
          <w:bCs/>
          <w:sz w:val="20"/>
          <w:szCs w:val="20"/>
        </w:rPr>
        <w:t xml:space="preserve">VII. SONUÇ</w:t>
      </w:r>
    </w:p>
    <w:p>
      <w:pPr>
        <w:spacing w:after="60" w:line="240"/>
        <w:ind/>
        <w:jc w:val="both"/>
      </w:pPr>
      <w:r>
        <w:rPr>
          <w:rFonts w:ascii="Times New Roman" w:cs="Times New Roman" w:eastAsia="Times New Roman" w:hAnsi="Times New Roman"/>
          <w:sz w:val="20"/>
          <w:szCs w:val="20"/>
        </w:rPr>
        <w:t xml:space="preserve">Bu çalışmada, mikroservis mimarisi kullanılarak ölçeklenebilir bir e-ticaret gateway sistemi geliştirilmiştir. Dispatcher servisi 11 TDD cycle ile disiplinli şekilde geliştirilmiş, JWT authentication, role-based authorization, Saga pattern order orchestration, Prometheus metrics ve Grafana monitoring özellikleri implement edilmiştir.</w:t>
      </w:r>
    </w:p>
    <w:p>
      <w:pPr>
        <w:spacing w:after="60" w:line="240"/>
        <w:ind/>
        <w:jc w:val="both"/>
      </w:pPr>
      <w:r>
        <w:rPr>
          <w:rFonts w:ascii="Times New Roman" w:cs="Times New Roman" w:eastAsia="Times New Roman" w:hAnsi="Times New Roman"/>
          <w:sz w:val="20"/>
          <w:szCs w:val="20"/>
        </w:rPr>
        <w:t xml:space="preserve">Docker Compose ile container tabanlı deployment ve network izolasyonu sağlanmış, k6 ile kapsamlı yük testleri gerçekleştirilmiştir. Elde edilen sonuçlar, mikroservis mimarisinin e-ticaret sistemlerinde ölçeklenebilirlik, bakım kolaylığı ve güvenlik açısından belirgin avantajlar sunduğunu göstermektedir.</w:t>
      </w:r>
    </w:p>
    <w:p>
      <w:pPr>
        <w:spacing w:after="120" w:before="240"/>
        <w:jc w:val="center"/>
      </w:pPr>
      <w:r>
        <w:rPr>
          <w:rFonts w:ascii="Times New Roman" w:cs="Times New Roman" w:eastAsia="Times New Roman" w:hAnsi="Times New Roman"/>
          <w:b/>
          <w:bCs/>
          <w:sz w:val="20"/>
          <w:szCs w:val="20"/>
        </w:rPr>
        <w:t xml:space="preserve">KAYNAKLAR</w:t>
      </w:r>
    </w:p>
    <w:p>
      <w:pPr>
        <w:spacing w:after="60" w:line="240"/>
        <w:jc w:val="both"/>
      </w:pPr>
      <w:r>
        <w:rPr>
          <w:rFonts w:ascii="Times New Roman" w:cs="Times New Roman" w:eastAsia="Times New Roman" w:hAnsi="Times New Roman"/>
          <w:sz w:val="16"/>
          <w:szCs w:val="16"/>
        </w:rPr>
        <w:t xml:space="preserve">[1] S. Newman, </w:t>
      </w:r>
      <w:r>
        <w:rPr>
          <w:rFonts w:ascii="Times New Roman" w:cs="Times New Roman" w:eastAsia="Times New Roman" w:hAnsi="Times New Roman"/>
          <w:i/>
          <w:iCs/>
          <w:sz w:val="16"/>
          <w:szCs w:val="16"/>
        </w:rPr>
        <w:t xml:space="preserve">Building Microservices</w:t>
      </w:r>
      <w:r>
        <w:rPr>
          <w:rFonts w:ascii="Times New Roman" w:cs="Times New Roman" w:eastAsia="Times New Roman" w:hAnsi="Times New Roman"/>
          <w:sz w:val="16"/>
          <w:szCs w:val="16"/>
        </w:rPr>
        <w:t xml:space="preserve">, 2nd ed. O’Reilly Media, 2021.</w:t>
      </w:r>
    </w:p>
    <w:p>
      <w:pPr>
        <w:spacing w:after="60" w:line="240"/>
        <w:jc w:val="both"/>
      </w:pPr>
      <w:r>
        <w:rPr>
          <w:rFonts w:ascii="Times New Roman" w:cs="Times New Roman" w:eastAsia="Times New Roman" w:hAnsi="Times New Roman"/>
          <w:sz w:val="16"/>
          <w:szCs w:val="16"/>
        </w:rPr>
        <w:t xml:space="preserve">[2] C. Richardson, </w:t>
      </w:r>
      <w:r>
        <w:rPr>
          <w:rFonts w:ascii="Times New Roman" w:cs="Times New Roman" w:eastAsia="Times New Roman" w:hAnsi="Times New Roman"/>
          <w:i/>
          <w:iCs/>
          <w:sz w:val="16"/>
          <w:szCs w:val="16"/>
        </w:rPr>
        <w:t xml:space="preserve">Microservices Patterns</w:t>
      </w:r>
      <w:r>
        <w:rPr>
          <w:rFonts w:ascii="Times New Roman" w:cs="Times New Roman" w:eastAsia="Times New Roman" w:hAnsi="Times New Roman"/>
          <w:sz w:val="16"/>
          <w:szCs w:val="16"/>
        </w:rPr>
        <w:t xml:space="preserve">. Manning Publications, 2018.</w:t>
      </w:r>
    </w:p>
    <w:p>
      <w:pPr>
        <w:spacing w:after="60" w:line="240"/>
        <w:jc w:val="both"/>
      </w:pPr>
      <w:r>
        <w:rPr>
          <w:rFonts w:ascii="Times New Roman" w:cs="Times New Roman" w:eastAsia="Times New Roman" w:hAnsi="Times New Roman"/>
          <w:sz w:val="16"/>
          <w:szCs w:val="16"/>
        </w:rPr>
        <w:t xml:space="preserve">[3] M. Fowler, “Microservices,” martinfowler.com, 2014.</w:t>
      </w:r>
    </w:p>
    <w:p>
      <w:pPr>
        <w:spacing w:after="60" w:line="240"/>
        <w:jc w:val="both"/>
      </w:pPr>
      <w:r>
        <w:rPr>
          <w:rFonts w:ascii="Times New Roman" w:cs="Times New Roman" w:eastAsia="Times New Roman" w:hAnsi="Times New Roman"/>
          <w:sz w:val="16"/>
          <w:szCs w:val="16"/>
        </w:rPr>
        <w:t xml:space="preserve">[4] K. Beck, </w:t>
      </w:r>
      <w:r>
        <w:rPr>
          <w:rFonts w:ascii="Times New Roman" w:cs="Times New Roman" w:eastAsia="Times New Roman" w:hAnsi="Times New Roman"/>
          <w:i/>
          <w:iCs/>
          <w:sz w:val="16"/>
          <w:szCs w:val="16"/>
        </w:rPr>
        <w:t xml:space="preserve">Test Driven Development: By Example</w:t>
      </w:r>
      <w:r>
        <w:rPr>
          <w:rFonts w:ascii="Times New Roman" w:cs="Times New Roman" w:eastAsia="Times New Roman" w:hAnsi="Times New Roman"/>
          <w:sz w:val="16"/>
          <w:szCs w:val="16"/>
        </w:rPr>
        <w:t xml:space="preserve">. Addison-Wesley, 2002.</w:t>
      </w:r>
    </w:p>
    <w:p>
      <w:pPr>
        <w:spacing w:after="60" w:line="240"/>
        <w:jc w:val="both"/>
      </w:pPr>
      <w:r>
        <w:rPr>
          <w:rFonts w:ascii="Times New Roman" w:cs="Times New Roman" w:eastAsia="Times New Roman" w:hAnsi="Times New Roman"/>
          <w:sz w:val="16"/>
          <w:szCs w:val="16"/>
        </w:rPr>
        <w:t xml:space="preserve">[5] R. T. Fielding, “Architectural Styles and the Design of Network-based Software Architectures,” Ph.D. dissertation, Univ. of California, Irvine, 2000.</w:t>
      </w:r>
    </w:p>
    <w:p>
      <w:pPr>
        <w:spacing w:after="60" w:line="240"/>
        <w:jc w:val="both"/>
      </w:pPr>
      <w:r>
        <w:rPr>
          <w:rFonts w:ascii="Times New Roman" w:cs="Times New Roman" w:eastAsia="Times New Roman" w:hAnsi="Times New Roman"/>
          <w:sz w:val="16"/>
          <w:szCs w:val="16"/>
        </w:rPr>
        <w:t xml:space="preserve">[6] L. Richardson and S. Ruby, </w:t>
      </w:r>
      <w:r>
        <w:rPr>
          <w:rFonts w:ascii="Times New Roman" w:cs="Times New Roman" w:eastAsia="Times New Roman" w:hAnsi="Times New Roman"/>
          <w:i/>
          <w:iCs/>
          <w:sz w:val="16"/>
          <w:szCs w:val="16"/>
        </w:rPr>
        <w:t xml:space="preserve">RESTful Web APIs</w:t>
      </w:r>
      <w:r>
        <w:rPr>
          <w:rFonts w:ascii="Times New Roman" w:cs="Times New Roman" w:eastAsia="Times New Roman" w:hAnsi="Times New Roman"/>
          <w:sz w:val="16"/>
          <w:szCs w:val="16"/>
        </w:rPr>
        <w:t xml:space="preserve">. O’Reilly Media, 2013.</w:t>
      </w:r>
    </w:p>
    <w:p>
      <w:pPr>
        <w:spacing w:after="60" w:line="240"/>
        <w:jc w:val="both"/>
      </w:pPr>
      <w:r>
        <w:rPr>
          <w:rFonts w:ascii="Times New Roman" w:cs="Times New Roman" w:eastAsia="Times New Roman" w:hAnsi="Times New Roman"/>
          <w:sz w:val="16"/>
          <w:szCs w:val="16"/>
        </w:rPr>
        <w:t xml:space="preserve">[7] R. C. Martin, </w:t>
      </w:r>
      <w:r>
        <w:rPr>
          <w:rFonts w:ascii="Times New Roman" w:cs="Times New Roman" w:eastAsia="Times New Roman" w:hAnsi="Times New Roman"/>
          <w:i/>
          <w:iCs/>
          <w:sz w:val="16"/>
          <w:szCs w:val="16"/>
        </w:rPr>
        <w:t xml:space="preserve">Clean Code: A Handbook of Agile Software Craftsmanship</w:t>
      </w:r>
      <w:r>
        <w:rPr>
          <w:rFonts w:ascii="Times New Roman" w:cs="Times New Roman" w:eastAsia="Times New Roman" w:hAnsi="Times New Roman"/>
          <w:sz w:val="16"/>
          <w:szCs w:val="16"/>
        </w:rPr>
        <w:t xml:space="preserve">. Prentice Hall, 2008.</w:t>
      </w:r>
    </w:p>
    <w:p>
      <w:pPr>
        <w:spacing w:after="60" w:line="240"/>
        <w:jc w:val="both"/>
      </w:pPr>
      <w:r>
        <w:rPr>
          <w:rFonts w:ascii="Times New Roman" w:cs="Times New Roman" w:eastAsia="Times New Roman" w:hAnsi="Times New Roman"/>
          <w:sz w:val="16"/>
          <w:szCs w:val="16"/>
        </w:rPr>
        <w:t xml:space="preserve">[8] M. Kleppmann, </w:t>
      </w:r>
      <w:r>
        <w:rPr>
          <w:rFonts w:ascii="Times New Roman" w:cs="Times New Roman" w:eastAsia="Times New Roman" w:hAnsi="Times New Roman"/>
          <w:i/>
          <w:iCs/>
          <w:sz w:val="16"/>
          <w:szCs w:val="16"/>
        </w:rPr>
        <w:t xml:space="preserve">Designing Data-Intensive Applications</w:t>
      </w:r>
      <w:r>
        <w:rPr>
          <w:rFonts w:ascii="Times New Roman" w:cs="Times New Roman" w:eastAsia="Times New Roman" w:hAnsi="Times New Roman"/>
          <w:sz w:val="16"/>
          <w:szCs w:val="16"/>
        </w:rPr>
        <w:t xml:space="preserve">. O’Reilly Media, 2017.</w:t>
      </w:r>
    </w:p>
    <w:p>
      <w:pPr>
        <w:spacing w:after="60" w:line="240"/>
        <w:jc w:val="both"/>
      </w:pPr>
      <w:r>
        <w:rPr>
          <w:rFonts w:ascii="Times New Roman" w:cs="Times New Roman" w:eastAsia="Times New Roman" w:hAnsi="Times New Roman"/>
          <w:sz w:val="16"/>
          <w:szCs w:val="16"/>
        </w:rPr>
        <w:t xml:space="preserve">[9] Node.js Documentation, “About Node.js,” [Online]. Available: https://nodejs.org/en/about/.</w:t>
      </w:r>
    </w:p>
    <w:p>
      <w:pPr>
        <w:spacing w:after="60" w:line="240"/>
        <w:jc w:val="both"/>
      </w:pPr>
      <w:r>
        <w:rPr>
          <w:rFonts w:ascii="Times New Roman" w:cs="Times New Roman" w:eastAsia="Times New Roman" w:hAnsi="Times New Roman"/>
          <w:sz w:val="16"/>
          <w:szCs w:val="16"/>
        </w:rPr>
        <w:t xml:space="preserve">[10] Express.js Documentation, “Express API Reference,” [Online]. Available: https://expressjs.com/en/4x/api.html.</w:t>
      </w:r>
    </w:p>
    <w:p>
      <w:pPr>
        <w:spacing w:after="60" w:line="240"/>
        <w:jc w:val="both"/>
      </w:pPr>
      <w:r>
        <w:rPr>
          <w:rFonts w:ascii="Times New Roman" w:cs="Times New Roman" w:eastAsia="Times New Roman" w:hAnsi="Times New Roman"/>
          <w:sz w:val="16"/>
          <w:szCs w:val="16"/>
        </w:rPr>
        <w:t xml:space="preserve">[11] MongoDB Documentation, “The MongoDB Manual,” [Online]. Available: https://docs.mongodb.com/manual/.</w:t>
      </w:r>
    </w:p>
    <w:p>
      <w:pPr>
        <w:spacing w:after="60" w:line="240"/>
        <w:jc w:val="both"/>
      </w:pPr>
      <w:r>
        <w:rPr>
          <w:rFonts w:ascii="Times New Roman" w:cs="Times New Roman" w:eastAsia="Times New Roman" w:hAnsi="Times New Roman"/>
          <w:sz w:val="16"/>
          <w:szCs w:val="16"/>
        </w:rPr>
        <w:t xml:space="preserve">[12] JWT.io, “Introduction to JSON Web Tokens,” [Online]. Available: https://jwt.io/introduction/.</w:t>
      </w:r>
    </w:p>
    <w:sectPr>
      <w:type w:val="continuous"/>
      <w:pgSz w:w="11906" w:h="16838" w:orient="portrait"/>
      <w:pgMar w:top="1080" w:right="734" w:bottom="1440" w:left="734" w:header="0" w:footer="720"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2026-04-05T11:16:10.335Z</dcterms:created>
  <dcterms:modified xsi:type="dcterms:W3CDTF">2026-04-05T11:16:10.336Z</dcterms:modified>
</cp:coreProperties>
</file>

<file path=docProps/custom.xml><?xml version="1.0" encoding="utf-8"?>
<Properties xmlns="http://schemas.openxmlformats.org/officeDocument/2006/custom-properties" xmlns:vt="http://schemas.openxmlformats.org/officeDocument/2006/docPropsVTypes"/>
</file>