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0"/>
          <w:szCs w:val="30"/>
        </w:rPr>
        <w:t xml:space="preserve">PRODİS REVİZYON REHBERİ</w:t>
      </w:r>
    </w:p>
    <w:p>
      <w:pPr>
        <w:spacing w:after="300"/>
        <w:jc w:val="center"/>
      </w:pPr>
      <w:r>
        <w:rPr>
          <w:rFonts w:ascii="Times New Roman" w:cs="Times New Roman" w:eastAsia="Times New Roman" w:hAnsi="Times New Roman"/>
          <w:i/>
          <w:iCs/>
          <w:sz w:val="21"/>
          <w:szCs w:val="21"/>
        </w:rPr>
        <w:t xml:space="preserve">197686 No.lu Proje Önerisi — Ar-Ge Niteliği ve Özgün Değer Boyutunda Öncelikli Müdahaleler</w:t>
      </w:r>
    </w:p>
    <w:p>
      <w:pPr>
        <w:spacing w:after="140" w:line="264"/>
        <w:jc w:val="both"/>
      </w:pPr>
      <w:r>
        <w:rPr>
          <w:rFonts w:ascii="Times New Roman" w:cs="Times New Roman" w:eastAsia="Times New Roman" w:hAnsi="Times New Roman"/>
          <w:b w:val="false"/>
          <w:bCs w:val="false"/>
          <w:i w:val="false"/>
          <w:iCs w:val="false"/>
          <w:sz w:val="21"/>
          <w:szCs w:val="21"/>
        </w:rPr>
        <w:t xml:space="preserve">Bu doküman, hakemlerin değerlendirme ekranında “Projenin Endüstriyel Ar-Ge İçeriği, Teknoloji Düzeyi, Yenilikçi Yönü” boyutunu puanlarken baktığı alanlara odaklanmaktadır. Her madde için PRODİS'te hangi alanın düzenleneceği ve o alana yapıştırılacak metin verilmiştir. Gri kutulardaki metinler doğrudan kopyalanabilir; köşeli parantez içindeki alanlar tarafınızdan doldurulmalıdır.</w:t>
      </w:r>
    </w:p>
    <w:p>
      <w:pPr>
        <w:spacing w:after="140" w:line="264"/>
        <w:jc w:val="both"/>
      </w:pPr>
      <w:r>
        <w:rPr>
          <w:rFonts w:ascii="Times New Roman" w:cs="Times New Roman" w:eastAsia="Times New Roman" w:hAnsi="Times New Roman"/>
          <w:b w:val="false"/>
          <w:bCs w:val="false"/>
          <w:i w:val="false"/>
          <w:iCs w:val="false"/>
          <w:sz w:val="21"/>
          <w:szCs w:val="21"/>
        </w:rPr>
        <w:t xml:space="preserve">Maddeler, ret gerekçelerine etki gücüne göre sıralanmıştır. 1-5 arası maddeler gönderim öncesi mutlaka tamamlanmalıdır.</w:t>
      </w:r>
    </w:p>
    <w:p>
      <w:pPr>
        <w:pStyle w:val="Heading1"/>
        <w:spacing w:after="140" w:before="320"/>
      </w:pPr>
      <w:r>
        <w:rPr>
          <w:rFonts w:ascii="Times New Roman" w:cs="Times New Roman" w:eastAsia="Times New Roman" w:hAnsi="Times New Roman"/>
          <w:b/>
          <w:bCs/>
          <w:sz w:val="25"/>
          <w:szCs w:val="25"/>
        </w:rPr>
        <w:t xml:space="preserve">0. Önce Okuyunuz: Yeni Ablasyon Deneyinin Kritik Bulgusu</w:t>
      </w:r>
    </w:p>
    <w:p>
      <w:pPr>
        <w:spacing w:after="140" w:line="264"/>
        <w:jc w:val="both"/>
      </w:pPr>
      <w:r>
        <w:rPr>
          <w:rFonts w:ascii="Times New Roman" w:cs="Times New Roman" w:eastAsia="Times New Roman" w:hAnsi="Times New Roman"/>
          <w:b w:val="false"/>
          <w:bCs w:val="false"/>
          <w:i w:val="false"/>
          <w:iCs w:val="false"/>
          <w:sz w:val="21"/>
          <w:szCs w:val="21"/>
        </w:rPr>
        <w:t xml:space="preserve">Bu rehber hazırlanırken, GitHub deposundaki mevcut motor (okumetrik modülü) üzerinde kontrollü bir ablasyon deneyi çalıştırılmıştır. Deney, projenin merkezî yenilik iddiasını — fonem mesafesinin hizalama maliyetine gömülmesini — üç farklı baz çizgiye karşı sınamıştır. Sonuçlar, önerinin mevcut hâliyle savunmasız olduğu bir noktayı ortaya çıkarmıştır ve bu bulgu forma yansıtılmalıdır.</w:t>
      </w:r>
    </w:p>
    <w:p>
      <w:pPr>
        <w:spacing w:after="120" w:line="264"/>
        <w:jc w:val="both"/>
      </w:pPr>
      <w:r>
        <w:rPr>
          <w:rFonts w:ascii="Times New Roman" w:cs="Times New Roman" w:eastAsia="Times New Roman" w:hAnsi="Times New Roman"/>
          <w:b w:val="false"/>
          <w:bCs w:val="false"/>
          <w:i w:val="false"/>
          <w:iCs w:val="false"/>
          <w:sz w:val="21"/>
          <w:szCs w:val="21"/>
        </w:rPr>
        <w:t xml:space="preserve">Deney tasarımı: ilkokul 1-4. sınıf düzeyindeki 65 cümleden türetilen 257 sözcüklük dağarcık üzerinde, hata türü ve konumu bilinen 1.032 kontrollü hata olayı üretilmiştir. Telaffuz sapmaları tek fonem düzeyinde (ünlü değişimi, ünsüz ötümlülük değişimi, ses düşmesi), sözcük değiştirmeler ise zorlayıcı koşulda hedefe fonetik olarak en yakın gerçek sözcükler seçilerek oluşturulmuştur. Üç ana sınıfta (sözcük değiştirme, telaffuz sapması, atlama) Macro-F1 hesaplanmıştır.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4570"/>
      </w:tblGrid>
      <w:tr>
        <w:trPr>
          <w:tblHeader/>
        </w:trPr>
        <w:tc>
          <w:tcPr>
            <w:tcW w:type="dxa" w:w="3200"/>
            <w:shd w:fill="D9D9D9"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Hizalama yöntemi</w:t>
            </w:r>
          </w:p>
        </w:tc>
        <w:tc>
          <w:tcPr>
            <w:tcW w:type="dxa" w:w="1300"/>
            <w:shd w:fill="D9D9D9"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En iyi eşik</w:t>
            </w:r>
          </w:p>
        </w:tc>
        <w:tc>
          <w:tcPr>
            <w:tcW w:type="dxa" w:w="4570"/>
            <w:shd w:fill="D9D9D9"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Macro-F1 (zorlayıcı koşul)</w:t>
            </w:r>
          </w:p>
        </w:tc>
      </w:tr>
      <w:tr>
        <w:tc>
          <w:tcPr>
            <w:tcW w:type="dxa" w:w="3200"/>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Klasik sabit maliyetli sözcük hizalama</w:t>
            </w:r>
          </w:p>
        </w:tc>
        <w:tc>
          <w:tcPr>
            <w:tcW w:type="dxa" w:w="13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w:t>
            </w:r>
          </w:p>
        </w:tc>
        <w:tc>
          <w:tcPr>
            <w:tcW w:type="dxa" w:w="457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0,4681 — telaffuz sapması sınıfında F1 = 0,000; bu ayrımı yapısal olarak üretemiyor</w:t>
            </w:r>
          </w:p>
        </w:tc>
      </w:tr>
      <w:tr>
        <w:tc>
          <w:tcPr>
            <w:tcW w:type="dxa" w:w="3200"/>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Yazımsal (karakter Levenshtein) mesafe</w:t>
            </w:r>
          </w:p>
        </w:tc>
        <w:tc>
          <w:tcPr>
            <w:tcW w:type="dxa" w:w="13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0,34</w:t>
            </w:r>
          </w:p>
        </w:tc>
        <w:tc>
          <w:tcPr>
            <w:tcW w:type="dxa" w:w="457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0,9361 — literatürdeki gerçek rakip yaklaşım</w:t>
            </w:r>
          </w:p>
        </w:tc>
      </w:tr>
      <w:tr>
        <w:tc>
          <w:tcPr>
            <w:tcW w:type="dxa" w:w="3200"/>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Fonem sınıfı duyarlı mesafe (kodun ilk sürümü)</w:t>
            </w:r>
          </w:p>
        </w:tc>
        <w:tc>
          <w:tcPr>
            <w:tcW w:type="dxa" w:w="13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0,25</w:t>
            </w:r>
          </w:p>
        </w:tc>
        <w:tc>
          <w:tcPr>
            <w:tcW w:type="dxa" w:w="457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0,9381</w:t>
            </w:r>
          </w:p>
        </w:tc>
      </w:tr>
      <w:tr>
        <w:tc>
          <w:tcPr>
            <w:tcW w:type="dxa" w:w="3200"/>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Ayırt edici fonetik özellik tabanlı mesafe</w:t>
            </w:r>
          </w:p>
        </w:tc>
        <w:tc>
          <w:tcPr>
            <w:tcW w:type="dxa" w:w="13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0,20</w:t>
            </w:r>
          </w:p>
        </w:tc>
        <w:tc>
          <w:tcPr>
            <w:tcW w:type="dxa" w:w="457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0,9479 — en iyi sonuç</w:t>
            </w:r>
          </w:p>
        </w:tc>
      </w:tr>
    </w:tbl>
    <w:p>
      <w:pPr>
        <w:spacing w:after="140" w:line="264"/>
        <w:jc w:val="both"/>
      </w:pPr>
      <w:r>
        <w:rPr>
          <w:rFonts w:ascii="Times New Roman" w:cs="Times New Roman" w:eastAsia="Times New Roman" w:hAnsi="Times New Roman"/>
          <w:b w:val="false"/>
          <w:bCs w:val="false"/>
          <w:i w:val="false"/>
          <w:iCs w:val="false"/>
          <w:sz w:val="21"/>
          <w:szCs w:val="21"/>
        </w:rPr>
        <w:t xml:space="preserve"/>
      </w:r>
    </w:p>
    <w:p>
      <w:pPr>
        <w:spacing w:after="140" w:line="264"/>
        <w:jc w:val="both"/>
      </w:pPr>
      <w:r>
        <w:rPr>
          <w:rFonts w:ascii="Times New Roman" w:cs="Times New Roman" w:eastAsia="Times New Roman" w:hAnsi="Times New Roman"/>
          <w:b w:val="false"/>
          <w:bCs w:val="false"/>
          <w:i w:val="false"/>
          <w:iCs w:val="false"/>
          <w:sz w:val="21"/>
          <w:szCs w:val="21"/>
        </w:rPr>
        <w:t xml:space="preserve">Bulgunun birinci ve en güçlü sonucu olumludur: asıl kazanç, sözcükleri bölünmez birim saymaktan vazgeçip alt-sözcük benzerliğine geçmekten gelmektedir ve bu kazanç çok büyüktür (+0,48). Klasik hizalama telaffuz sapması sınıfında F1 = 0,000 vermektedir; yani bu ayrımı kötü yapmamakta, hiç üretememektedir. Projenin çekirdek mimari kararı bu ölçümle desteklenmiştir.</w:t>
      </w:r>
    </w:p>
    <w:p>
      <w:pPr>
        <w:spacing w:after="140" w:line="264"/>
        <w:jc w:val="both"/>
      </w:pPr>
      <w:r>
        <w:rPr>
          <w:rFonts w:ascii="Times New Roman" w:cs="Times New Roman" w:eastAsia="Times New Roman" w:hAnsi="Times New Roman"/>
          <w:b w:val="false"/>
          <w:bCs w:val="false"/>
          <w:i w:val="false"/>
          <w:iCs w:val="false"/>
          <w:sz w:val="21"/>
          <w:szCs w:val="21"/>
        </w:rPr>
        <w:t xml:space="preserve">İkinci sonuç dikkat gerektirir: alt-sözcük yöntemleri birbirine yakındır. Her yöntem kendi en uygun eşiğinde çalıştırıldığında yazımsal mesafe 0,9361, sınıf temelli fonem mesafesi 0,9381, özellik temelli fonem mesafesi 0,9479 vermektedir. Türkçenin sığ ortografisi nedeniyle harf mesafesi zaten fonem mesafesine yaklaşmaktadır. Dolayısıyla “fonem mesafesi kullanmak” tek başına savunulabilir bir yenilik iddiası değildir; alanı bilen bir hakem bunu yazımsal baz çizgiyle sorgulayabilir.</w:t>
      </w:r>
    </w:p>
    <w:p>
      <w:pPr>
        <w:spacing w:after="140" w:line="264"/>
        <w:jc w:val="both"/>
      </w:pPr>
      <w:r>
        <w:rPr>
          <w:rFonts w:ascii="Times New Roman" w:cs="Times New Roman" w:eastAsia="Times New Roman" w:hAnsi="Times New Roman"/>
          <w:b w:val="false"/>
          <w:bCs w:val="false"/>
          <w:i w:val="false"/>
          <w:iCs w:val="false"/>
          <w:sz w:val="21"/>
          <w:szCs w:val="21"/>
        </w:rPr>
        <w:t xml:space="preserve">Üçüncü ve projeyi en çok güçlendiren sonuç, karar eşiğinin mesafe modelinden daha belirleyici olmasıdır. Sınıf temelli model eşiğe göre 0,9381 ile 0,8108 arasında değişmektedir; yani yanlış eşik seçimi, mesafe modelini değiştirmekten çok daha fazla başarım kaybettirmektedir. Kodda başlangıçta sabitlenmiş olan 0,34 değeri her iki fonem modeli için de en uygun değer değildir. Bu, eşiklerin sezgisel olarak atanamayacağını ve uzman etiketli veriden öğrenilmesi gerektiğini deneysel olarak göstermektedir; projedeki kalibrasyon iş paketinin (İP3) doğrudan gerekçesidir.</w:t>
      </w:r>
    </w:p>
    <w:p>
      <w:pPr>
        <w:spacing w:after="140" w:line="264"/>
        <w:jc w:val="both"/>
      </w:pPr>
      <w:r>
        <w:rPr>
          <w:rFonts w:ascii="Times New Roman" w:cs="Times New Roman" w:eastAsia="Times New Roman" w:hAnsi="Times New Roman"/>
          <w:b w:val="false"/>
          <w:bCs w:val="false"/>
          <w:i w:val="false"/>
          <w:iCs w:val="false"/>
          <w:sz w:val="21"/>
          <w:szCs w:val="21"/>
        </w:rPr>
        <w:t xml:space="preserve">Dördüncü sonuç, özellik temelli modelin ayrışmayı asıl zor koşulda sağlamasıdır. Sözcük değiştirmelerin rastgele seçildiği kolay koşulda sınıf temelli model yeterlidir; hedefe fonetik olarak yakın sözcüklerin seçildiği zorlayıcı koşulda ise sınıf temelli model ortak eşikte 0,9110'a düşerken özellik temelli model 0,9479'da kalmaktadır. Pedagojik olarak önemli olan durum tam da budur.</w:t>
      </w:r>
    </w:p>
    <w:p>
      <w:pPr>
        <w:spacing w:after="140" w:line="264"/>
        <w:jc w:val="both"/>
      </w:pPr>
      <w:r>
        <w:rPr>
          <w:rFonts w:ascii="Times New Roman" w:cs="Times New Roman" w:eastAsia="Times New Roman" w:hAnsi="Times New Roman"/>
          <w:b w:val="false"/>
          <w:bCs w:val="false"/>
          <w:i w:val="false"/>
          <w:iCs w:val="false"/>
          <w:sz w:val="21"/>
          <w:szCs w:val="21"/>
        </w:rPr>
        <w:t xml:space="preserve">Forma yansıması: özgünlük iddiası üç ayağa oturtulmalıdır — mesafenin kaba sınıflar yerine ayırt edici fonetik özelliklerden türetilmesi, ağırlık ve eşiklerin uzman etiketli çocuk verisinden öğrenilmesi, ve modelin Türkçe morfofonolojik sesletim katmanı üzerine kurulması. Aşağıdaki 2. ve 5. maddeler bu düzeltmeyi içermektedir.</w:t>
      </w:r>
    </w:p>
    <w:p>
      <w:pPr>
        <w:spacing w:after="140" w:line="264"/>
        <w:jc w:val="both"/>
      </w:pPr>
      <w:r>
        <w:rPr>
          <w:rFonts w:ascii="Times New Roman" w:cs="Times New Roman" w:eastAsia="Times New Roman" w:hAnsi="Times New Roman"/>
          <w:b w:val="false"/>
          <w:bCs w:val="false"/>
          <w:i w:val="false"/>
          <w:iCs w:val="false"/>
          <w:sz w:val="21"/>
          <w:szCs w:val="21"/>
        </w:rPr>
        <w:t xml:space="preserve">Sınırlılık, forma da bu şekilde yazılmalıdır: deney sentetik hata olaylarıyla ve 257 sözcüklük bir dağarcıkla yapılmıştır; telaffuz sapmaları harf düzeyinde bozularak üretildiği için yazımsal mesafe kayrılmaktadır. Gerçek çocuk okumasında sapmalar akustik uzayda oluşur ve bir kısmının yazımsal karşılığı yoktur; bu nedenle fonem katmanının gerçek veride avantajı burada göründüğünden büyük olabilir. Sonuç, nihai başarım kanıtı değil, yöntem seçimini yönlendiren ön bulgudur.</w:t>
      </w:r>
    </w:p>
    <w:p>
      <w:pPr>
        <w:pStyle w:val="Heading1"/>
        <w:spacing w:after="140" w:before="320"/>
      </w:pPr>
      <w:r>
        <w:rPr>
          <w:rFonts w:ascii="Times New Roman" w:cs="Times New Roman" w:eastAsia="Times New Roman" w:hAnsi="Times New Roman"/>
          <w:b/>
          <w:bCs/>
          <w:sz w:val="25"/>
          <w:szCs w:val="25"/>
        </w:rPr>
        <w:t xml:space="preserve">1. ASR Bileşeninin İsimlendirilmesi ve Erişim Düzeyinin Belirtilmesi</w:t>
      </w:r>
    </w:p>
    <w:p>
      <w:pPr>
        <w:spacing w:after="140" w:line="264"/>
        <w:jc w:val="both"/>
      </w:pPr>
      <w:r>
        <w:rPr>
          <w:rFonts w:ascii="Times New Roman" w:cs="Times New Roman" w:eastAsia="Times New Roman" w:hAnsi="Times New Roman"/>
          <w:b w:val="false"/>
          <w:bCs w:val="false"/>
          <w:i w:val="false"/>
          <w:iCs w:val="false"/>
          <w:sz w:val="21"/>
          <w:szCs w:val="21"/>
        </w:rPr>
        <w:t xml:space="preserve">Formda kullanılacak sesten metne bileşeni hiçbir yerde isimlendirilmemiştir. Bu, iki ayrı olumsuz sonuç doğurur: hakem “asıl zor kısım satın alınmış” diye düşünür; ve daha ciddisi, “dil modeli/bağlam baskısı ve tekrar bastırma parametrelerinin 40 yapılandırmada taranması” ancak decoder'a erişim varsa mümkündür — kapalı bir bulut API'siyle bu deney fiziksel olarak yapılamaz. Deponuzdaki ölçümler bileşenin Whisper ailesi olduğunu ve kendi donanımınızda çalıştırıldığını göstermektedir.</w:t>
      </w:r>
    </w:p>
    <w:p>
      <w:pPr>
        <w:spacing w:after="80" w:before="100"/>
      </w:pPr>
      <w:r>
        <w:rPr>
          <w:rFonts w:ascii="Times New Roman" w:cs="Times New Roman" w:eastAsia="Times New Roman" w:hAnsi="Times New Roman"/>
          <w:b/>
          <w:bCs/>
          <w:sz w:val="21"/>
          <w:szCs w:val="21"/>
        </w:rPr>
        <w:t xml:space="preserve">PRODİS konumu → </w:t>
      </w:r>
      <w:r>
        <w:rPr>
          <w:rFonts w:ascii="Times New Roman" w:cs="Times New Roman" w:eastAsia="Times New Roman" w:hAnsi="Times New Roman"/>
          <w:sz w:val="21"/>
          <w:szCs w:val="21"/>
        </w:rPr>
        <w:t xml:space="preserve">B.2 → “Proje Faaliyetlerinin Kapsadığı Teknik ve Teknolojiler” tablosu, 1. satır (“Türkçe Sesten Metne Çözümleme ve Sözcük Düzeyi Zaman Damgası Üretimi”), “Projede Niçin İhtiyaç Duyulduğu” hücresi.</w:t>
      </w:r>
    </w:p>
    <w:p>
      <w:pPr>
        <w:spacing w:after="80" w:before="40"/>
      </w:pPr>
      <w:r>
        <w:rPr>
          <w:rFonts w:ascii="Times New Roman" w:cs="Times New Roman" w:eastAsia="Times New Roman" w:hAnsi="Times New Roman"/>
          <w:b/>
          <w:bCs/>
          <w:sz w:val="21"/>
          <w:szCs w:val="21"/>
        </w:rPr>
        <w:t xml:space="preserve">Yapılacak işlem → </w:t>
      </w:r>
      <w:r>
        <w:rPr>
          <w:rFonts w:ascii="Times New Roman" w:cs="Times New Roman" w:eastAsia="Times New Roman" w:hAnsi="Times New Roman"/>
          <w:sz w:val="21"/>
          <w:szCs w:val="21"/>
        </w:rPr>
        <w:t xml:space="preserve">Hücre metnini aşağıdakiyle değiştirin.</w:t>
      </w:r>
    </w:p>
    <w:tbl>
      <w:tblPr>
        <w:tblW w:type="dxa" w:w="9070"/>
        <w:tblBorders>
          <w:top w:val="single" w:color="999999" w:sz="4"/>
          <w:left w:val="single" w:color="999999" w:sz="4"/>
          <w:bottom w:val="single" w:color="999999" w:sz="4"/>
          <w:right w:val="single" w:color="999999" w:sz="4"/>
          <w:insideH w:val="none"/>
          <w:insideV w:val="none"/>
        </w:tblBorders>
      </w:tblPr>
      <w:tblGrid>
        <w:gridCol w:w="9070"/>
      </w:tblGrid>
      <w:tr>
        <w:tc>
          <w:tcPr>
            <w:tcW w:type="dxa" w:w="9070"/>
            <w:shd w:fill="F2F2F2" w:color="auto" w:val="clear"/>
            <w:tcMar>
              <w:top w:type="dxa" w:w="140"/>
              <w:left w:type="dxa" w:w="160"/>
              <w:bottom w:type="dxa" w:w="140"/>
              <w:right w:type="dxa" w:w="160"/>
            </w:tcMar>
          </w:tcPr>
          <w:p>
            <w:pPr>
              <w:spacing w:after="120" w:line="264"/>
              <w:jc w:val="both"/>
            </w:pPr>
            <w:r>
              <w:rPr>
                <w:rFonts w:ascii="Times New Roman" w:cs="Times New Roman" w:eastAsia="Times New Roman" w:hAnsi="Times New Roman"/>
                <w:sz w:val="20"/>
                <w:szCs w:val="20"/>
              </w:rPr>
              <w:t xml:space="preserve">Ses kaydının sözcük dizisine ve sözcük düzeyi zaman damgalarına dönüştürülmesi için kullanılacaktır. Bileşen olarak açık ağırlıklı Whisper ailesi modelleri (openai/whisper-medium ve whisper-large-v3) kuruluşun kendi sunucusunda, HuggingFace Transformers ve CTranslate2/faster-whisper çalışma zamanlarıyla çalıştırılacaktır. Kapalı bulut servisi kullanılmayacaktır.</w:t>
            </w:r>
          </w:p>
          <w:p>
            <w:pPr>
              <w:spacing w:after="0" w:line="264"/>
              <w:jc w:val="both"/>
            </w:pPr>
            <w:r>
              <w:rPr>
                <w:rFonts w:ascii="Times New Roman" w:cs="Times New Roman" w:eastAsia="Times New Roman" w:hAnsi="Times New Roman"/>
                <w:sz w:val="20"/>
                <w:szCs w:val="20"/>
              </w:rPr>
              <w:t xml:space="preserve">Yerel çalıştırma, projenin Ar-Ge içeriği için zorunludur: hata-koruyan çalışma noktasının belirlenebilmesi için çözümleme parametrelerine (dil modeli ağırlığı, ışın genişliği, tekrar cezası, sıcaklık, koşullandırma istemi, zorunlu çözücü kimlikleri) doğrudan erişim gerekmektedir. Bu parametreler kapalı servis arayüzlerinde erişime açık değildir. Aynı gereklilik, kurum içi/yerli barındırma seçeneğinin ve kişisel verinin yurt dışına çıkarılmaması ilkesinin de teknik dayanağıdır.</w:t>
            </w:r>
          </w:p>
        </w:tc>
      </w:tr>
    </w:tbl>
    <w:p>
      <w:pPr>
        <w:spacing w:after="80" w:before="40"/>
      </w:pPr>
      <w:r>
        <w:rPr>
          <w:rFonts w:ascii="Times New Roman" w:cs="Times New Roman" w:eastAsia="Times New Roman" w:hAnsi="Times New Roman"/>
          <w:b/>
          <w:bCs/>
          <w:sz w:val="21"/>
          <w:szCs w:val="21"/>
        </w:rPr>
        <w:t xml:space="preserve">Yapılacak işlem → </w:t>
      </w:r>
      <w:r>
        <w:rPr>
          <w:rFonts w:ascii="Times New Roman" w:cs="Times New Roman" w:eastAsia="Times New Roman" w:hAnsi="Times New Roman"/>
          <w:sz w:val="21"/>
          <w:szCs w:val="21"/>
        </w:rPr>
        <w:t xml:space="preserve">Aynı bilgiyi B.1'in 2. sorusundaki (“Proje amaçlarına ulaşmak için önerilen çözüm”) birinci bileşen paragrafına da bir cümleyle ekleyin.</w:t>
      </w:r>
    </w:p>
    <w:tbl>
      <w:tblPr>
        <w:tblW w:type="dxa" w:w="9070"/>
        <w:tblBorders>
          <w:top w:val="single" w:color="999999" w:sz="4"/>
          <w:left w:val="single" w:color="999999" w:sz="4"/>
          <w:bottom w:val="single" w:color="999999" w:sz="4"/>
          <w:right w:val="single" w:color="999999" w:sz="4"/>
          <w:insideH w:val="none"/>
          <w:insideV w:val="none"/>
        </w:tblBorders>
      </w:tblPr>
      <w:tblGrid>
        <w:gridCol w:w="9070"/>
      </w:tblGrid>
      <w:tr>
        <w:tc>
          <w:tcPr>
            <w:tcW w:type="dxa" w:w="9070"/>
            <w:shd w:fill="F2F2F2" w:color="auto" w:val="clear"/>
            <w:tcMar>
              <w:top w:type="dxa" w:w="140"/>
              <w:left w:type="dxa" w:w="160"/>
              <w:bottom w:type="dxa" w:w="140"/>
              <w:right w:type="dxa" w:w="160"/>
            </w:tcMar>
          </w:tcPr>
          <w:p>
            <w:pPr>
              <w:spacing w:after="0" w:line="264"/>
              <w:jc w:val="both"/>
            </w:pPr>
            <w:r>
              <w:rPr>
                <w:rFonts w:ascii="Times New Roman" w:cs="Times New Roman" w:eastAsia="Times New Roman" w:hAnsi="Times New Roman"/>
                <w:sz w:val="20"/>
                <w:szCs w:val="20"/>
              </w:rPr>
              <w:t xml:space="preserve">Birinci katmanda kullanılacak sesten metne bileşeni, açık ağırlıklı Whisper ailesi modelleridir (whisper-medium / whisper-large-v3) ve kuruluşun kendi sunucusunda çalıştırılacaktır; çözümleme parametrelerine tam erişim, hata-koruyan çalışma noktasının belirlenebilmesi için ön koşuldur.</w:t>
            </w:r>
          </w:p>
        </w:tc>
      </w:tr>
    </w:tbl>
    <w:p>
      <w:pPr>
        <w:pStyle w:val="Heading1"/>
        <w:spacing w:after="140" w:before="320"/>
      </w:pPr>
      <w:r>
        <w:rPr>
          <w:rFonts w:ascii="Times New Roman" w:cs="Times New Roman" w:eastAsia="Times New Roman" w:hAnsi="Times New Roman"/>
          <w:b/>
          <w:bCs/>
          <w:sz w:val="25"/>
          <w:szCs w:val="25"/>
        </w:rPr>
        <w:t xml:space="preserve">2. Başarı Ölçütlerinin Baz Çizgiye Göre Kazanç Olarak Tanımlanması</w:t>
      </w:r>
    </w:p>
    <w:p>
      <w:pPr>
        <w:spacing w:after="140" w:line="264"/>
        <w:jc w:val="both"/>
      </w:pPr>
      <w:r>
        <w:rPr>
          <w:rFonts w:ascii="Times New Roman" w:cs="Times New Roman" w:eastAsia="Times New Roman" w:hAnsi="Times New Roman"/>
          <w:b w:val="false"/>
          <w:bCs w:val="false"/>
          <w:i w:val="false"/>
          <w:iCs w:val="false"/>
          <w:sz w:val="21"/>
          <w:szCs w:val="21"/>
        </w:rPr>
        <w:t xml:space="preserve">Mevcut ölçütler mutlak eşiklerdir (“Macro-F1 &gt; 0,80”). Hakemin ilk sorusu şudur: klasik hizalama aynı veride 0,78 verirse projenin katkısı nedir? Ar-Ge katkısı mutlak eşikle değil, baz çizgiye göre ölçülen farkla kanıtlanır. Ayrıca beş ölçütten biri (işlem süresi) bir mühendislik gereksinimidir ve Ar-Ge ölçütü yerini işgal etmektedir.</w:t>
      </w:r>
    </w:p>
    <w:p>
      <w:pPr>
        <w:spacing w:after="80" w:before="100"/>
      </w:pPr>
      <w:r>
        <w:rPr>
          <w:rFonts w:ascii="Times New Roman" w:cs="Times New Roman" w:eastAsia="Times New Roman" w:hAnsi="Times New Roman"/>
          <w:b/>
          <w:bCs/>
          <w:sz w:val="21"/>
          <w:szCs w:val="21"/>
        </w:rPr>
        <w:t xml:space="preserve">PRODİS konumu → </w:t>
      </w:r>
      <w:r>
        <w:rPr>
          <w:rFonts w:ascii="Times New Roman" w:cs="Times New Roman" w:eastAsia="Times New Roman" w:hAnsi="Times New Roman"/>
          <w:sz w:val="21"/>
          <w:szCs w:val="21"/>
        </w:rPr>
        <w:t xml:space="preserve">B.3 → “Proje Hedefleri” tablosu (en fazla 5 satır). Tabloyu aşağıdaki gibi yeniden düzenleyin.</w:t>
      </w:r>
    </w:p>
    <w:p>
      <w:pPr>
        <w:spacing w:after="80" w:line="264"/>
        <w:jc w:val="both"/>
      </w:pPr>
      <w:r>
        <w:rPr>
          <w:rFonts w:ascii="Times New Roman" w:cs="Times New Roman" w:eastAsia="Times New Roman" w:hAnsi="Times New Roman"/>
          <w:b w:val="false"/>
          <w:bCs w:val="false"/>
          <w:i w:val="false"/>
          <w:iCs w:val="false"/>
          <w:sz w:val="21"/>
          <w:szCs w:val="21"/>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400"/>
        <w:gridCol w:w="3670"/>
      </w:tblGrid>
      <w:tr>
        <w:trPr>
          <w:tblHeader/>
        </w:trPr>
        <w:tc>
          <w:tcPr>
            <w:tcW w:type="dxa" w:w="5400"/>
            <w:shd w:fill="D9D9D9"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Başarı Ölçütü</w:t>
            </w:r>
          </w:p>
        </w:tc>
        <w:tc>
          <w:tcPr>
            <w:tcW w:type="dxa" w:w="3670"/>
            <w:shd w:fill="D9D9D9"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Hedeflenen Değer</w:t>
            </w:r>
          </w:p>
        </w:tc>
      </w:tr>
      <w:tr>
        <w:tc>
          <w:tcPr>
            <w:tcW w:type="dxa" w:w="5400"/>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Üç ana hata sınıfının (sözcük değiştirme, telaffuz sapması, atlama) kilitli test kümesinde otomatik ayrıştırma başarımı</w:t>
            </w:r>
          </w:p>
        </w:tc>
        <w:tc>
          <w:tcPr>
            <w:tcW w:type="dxa" w:w="367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Macro-F1 ≥ 0,80</w:t>
            </w:r>
          </w:p>
        </w:tc>
      </w:tr>
      <w:tr>
        <w:tc>
          <w:tcPr>
            <w:tcW w:type="dxa" w:w="5400"/>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Önerilen fonem temelli hizalamanın, aynı test kümesinde klasik sabit maliyetli hizalama ve yazımsal mesafe temelli hizalama baz çizgilerine göre üstünlüğü</w:t>
            </w:r>
          </w:p>
        </w:tc>
        <w:tc>
          <w:tcPr>
            <w:tcW w:type="dxa" w:w="367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Klasik baz çizgiye göre Macro-F1'de ≥ 0,15 mutlak artış. Yazımsal baz çizgiye göre üstünlük: farkın katılımcı düzeyinde kümelenmiş bootstrap %95 güven aralığının sıfırı içermemesi (sabit bir eşik değeri hedeflenmemektedir)</w:t>
            </w:r>
          </w:p>
        </w:tc>
      </w:tr>
      <w:tr>
        <w:tc>
          <w:tcPr>
            <w:tcW w:type="dxa" w:w="5400"/>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Telaffuz sapmasının sözcük değiştirmeden ayrıştırılma başarımı</w:t>
            </w:r>
          </w:p>
        </w:tc>
        <w:tc>
          <w:tcPr>
            <w:tcW w:type="dxa" w:w="367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Precision ≥ 0,75 ve Recall ≥ 0,70</w:t>
            </w:r>
          </w:p>
        </w:tc>
      </w:tr>
      <w:tr>
        <w:tc>
          <w:tcPr>
            <w:tcW w:type="dxa" w:w="5400"/>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Hata-koruyan çözümlemenin varsayılan çözümleme ayarına göre kazancı</w:t>
            </w:r>
          </w:p>
        </w:tc>
        <w:tc>
          <w:tcPr>
            <w:tcW w:type="dxa" w:w="367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Eşit veya daha düşük YHÜO düzeyinde HKO'da ≥ 0,10 mutlak artış</w:t>
            </w:r>
          </w:p>
        </w:tc>
      </w:tr>
      <w:tr>
        <w:tc>
          <w:tcPr>
            <w:tcW w:type="dxa" w:w="5400"/>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Bileşik akıcılık göstergesinin uzman değerlendirmesiyle geçerliği</w:t>
            </w:r>
          </w:p>
        </w:tc>
        <w:tc>
          <w:tcPr>
            <w:tcW w:type="dxa" w:w="367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Katılımcı düzeyinde Pearson r ≥ 0,80</w:t>
            </w:r>
          </w:p>
        </w:tc>
      </w:tr>
    </w:tbl>
    <w:p>
      <w:pPr>
        <w:spacing w:after="140" w:line="264"/>
        <w:jc w:val="both"/>
      </w:pPr>
      <w:r>
        <w:rPr>
          <w:rFonts w:ascii="Times New Roman" w:cs="Times New Roman" w:eastAsia="Times New Roman" w:hAnsi="Times New Roman"/>
          <w:b w:val="false"/>
          <w:bCs w:val="false"/>
          <w:i w:val="false"/>
          <w:iCs w:val="false"/>
          <w:sz w:val="21"/>
          <w:szCs w:val="21"/>
        </w:rPr>
        <w:t xml:space="preserve"/>
      </w:r>
    </w:p>
    <w:p>
      <w:pPr>
        <w:spacing w:after="140" w:line="264"/>
        <w:jc w:val="both"/>
      </w:pPr>
      <w:r>
        <w:rPr>
          <w:rFonts w:ascii="Times New Roman" w:cs="Times New Roman" w:eastAsia="Times New Roman" w:hAnsi="Times New Roman"/>
          <w:b w:val="false"/>
          <w:bCs w:val="false"/>
          <w:i w:val="false"/>
          <w:iCs w:val="false"/>
          <w:sz w:val="21"/>
          <w:szCs w:val="21"/>
        </w:rPr>
        <w:t xml:space="preserve">Çıkarılan iki ölçüt kaybolmamalıdır. “Yüksek hata yoğunluğunda dayanıklılık (Macro-F1 göreli düşüşü &lt; %10)” ve “60 saniyelik kayıt için ≤ 15 saniye işlem süresi” ölçütlerini, B.3'ün “Proje çıktısına ilişkin takip edilecek standartlar / şartnameler” alanında ve İP6'nın deney tablosunda tutun; oradan zaten ölçülmektedir.</w:t>
      </w:r>
    </w:p>
    <w:p>
      <w:pPr>
        <w:pStyle w:val="Heading1"/>
        <w:spacing w:after="140" w:before="320"/>
      </w:pPr>
      <w:r>
        <w:rPr>
          <w:rFonts w:ascii="Times New Roman" w:cs="Times New Roman" w:eastAsia="Times New Roman" w:hAnsi="Times New Roman"/>
          <w:b/>
          <w:bCs/>
          <w:sz w:val="25"/>
          <w:szCs w:val="25"/>
        </w:rPr>
        <w:t xml:space="preserve">3. Hata Korumanın Parametre Taraması Değil, Yöntem Olarak Tanımlanması</w:t>
      </w:r>
    </w:p>
    <w:p>
      <w:pPr>
        <w:spacing w:after="140" w:line="264"/>
        <w:jc w:val="both"/>
      </w:pPr>
      <w:r>
        <w:rPr>
          <w:rFonts w:ascii="Times New Roman" w:cs="Times New Roman" w:eastAsia="Times New Roman" w:hAnsi="Times New Roman"/>
          <w:b w:val="false"/>
          <w:bCs w:val="false"/>
          <w:i w:val="false"/>
          <w:iCs w:val="false"/>
          <w:sz w:val="21"/>
          <w:szCs w:val="21"/>
        </w:rPr>
        <w:t xml:space="preserve">İP5'in özü şu anda “40 yapılandırma tarayacağız ve iyi bir çalışma noktası seçeceğiz” biçimindedir. Bu, yöntem geliştirme değil hiperparametre optimizasyonudur ve önceki ret kararındaki “yöntemler projenin amaçlarına göre özelleştirilmemiş” cümlesini davet eder. İlginç olan, gerçek yöntem öneriniz formda mevcut ama risk tablosunun B planı hücresine gömülmüş durumda (“referans metin bağlamının sınırlı yönlendirici kullanımı ve iki kollu çözümleme alternatifleri”). Ayrıca deponuzda verbatim çözümleme yapılandırması zaten kodlanmış ve test edilmiştir.</w:t>
      </w:r>
    </w:p>
    <w:p>
      <w:pPr>
        <w:spacing w:after="80" w:before="100"/>
      </w:pPr>
      <w:r>
        <w:rPr>
          <w:rFonts w:ascii="Times New Roman" w:cs="Times New Roman" w:eastAsia="Times New Roman" w:hAnsi="Times New Roman"/>
          <w:b/>
          <w:bCs/>
          <w:sz w:val="21"/>
          <w:szCs w:val="21"/>
        </w:rPr>
        <w:t xml:space="preserve">PRODİS konumu → </w:t>
      </w:r>
      <w:r>
        <w:rPr>
          <w:rFonts w:ascii="Times New Roman" w:cs="Times New Roman" w:eastAsia="Times New Roman" w:hAnsi="Times New Roman"/>
          <w:sz w:val="21"/>
          <w:szCs w:val="21"/>
        </w:rPr>
        <w:t xml:space="preserve">B.1 → 2. soru (“önerilen çözümü açıklayınız”), “Çözümün ilk bileşeni hata-koruyan akustik çözümleme olacaktır” ile başlayan paragrafın hemen ardına yeni paragraf olarak ekleyin. Aynı metnin kısaltılmış hâlini İP5'in 2. maddesine (“kullanılacak yöntemler”) de koyun.</w:t>
      </w:r>
    </w:p>
    <w:tbl>
      <w:tblPr>
        <w:tblW w:type="dxa" w:w="9070"/>
        <w:tblBorders>
          <w:top w:val="single" w:color="999999" w:sz="4"/>
          <w:left w:val="single" w:color="999999" w:sz="4"/>
          <w:bottom w:val="single" w:color="999999" w:sz="4"/>
          <w:right w:val="single" w:color="999999" w:sz="4"/>
          <w:insideH w:val="none"/>
          <w:insideV w:val="none"/>
        </w:tblBorders>
      </w:tblPr>
      <w:tblGrid>
        <w:gridCol w:w="9070"/>
      </w:tblGrid>
      <w:tr>
        <w:tc>
          <w:tcPr>
            <w:tcW w:type="dxa" w:w="9070"/>
            <w:shd w:fill="F2F2F2" w:color="auto" w:val="clear"/>
            <w:tcMar>
              <w:top w:type="dxa" w:w="140"/>
              <w:left w:type="dxa" w:w="160"/>
              <w:bottom w:type="dxa" w:w="140"/>
              <w:right w:type="dxa" w:w="160"/>
            </w:tcMar>
          </w:tcPr>
          <w:p>
            <w:pPr>
              <w:spacing w:after="120" w:line="264"/>
              <w:jc w:val="both"/>
            </w:pPr>
            <w:r>
              <w:rPr>
                <w:rFonts w:ascii="Times New Roman" w:cs="Times New Roman" w:eastAsia="Times New Roman" w:hAnsi="Times New Roman"/>
                <w:sz w:val="20"/>
                <w:szCs w:val="20"/>
              </w:rPr>
              <w:t xml:space="preserve">Hata koruma, yalnız parametre seçimiyle değil, üç bileşenli özgün bir çözümleme mekanizmasıyla sağlanacaktır. Birincisi iki kollu çözümlemedir: aynı kayıt, referans metinden bağımsız serbest kolda ve referans metinle sınırlı biçimde koşullandırılmış kolda paralel çözümlenecek; iki kolun çıktısı arasındaki fark, dil modelinin gerçek okuma hatasını ne ölçüde düzelttiğinin doğrudan göstergesi olarak kullanılacaktır. İkincisi birebir (verbatim) çözümleme yapılandırmasıdır: tekrar cezası ve n-gram tekrar engelleme kapatılacak, zorunlu çözücü kimlikleri kaldırılacak, çözümleme sıcaklığı ve ışın genişliği hata koruma yönünde ayarlanacaktır. Üçüncüsü, N-en-iyi aday listesi ve sözcük düzeyi güven göstergeleri üzerinden referans farkındalıklı yeniden puanlamadır: dil modeli ağırlığı sabit tutulmayacak, sözcük bazında belirsizlik göstergesine göre uyarlanacaktır.</w:t>
            </w:r>
          </w:p>
          <w:p>
            <w:pPr>
              <w:spacing w:after="0" w:line="264"/>
              <w:jc w:val="both"/>
            </w:pPr>
            <w:r>
              <w:rPr>
                <w:rFonts w:ascii="Times New Roman" w:cs="Times New Roman" w:eastAsia="Times New Roman" w:hAnsi="Times New Roman"/>
                <w:sz w:val="20"/>
                <w:szCs w:val="20"/>
              </w:rPr>
              <w:t xml:space="preserve">En az 40 yapılandırmada yürütülecek tarama, bu mekanizmanın yerine geçmeyecek; mekanizmanın serbest parametrelerinin (kol ağırlığı, koşullandırma gücü, yeniden puanlama katsayısı, güven eşiği) HKO-YHÜO-WER ödünleşimi üzerinde ayarlanması amacıyla kullanılacaktır. Baz çizgi olarak bileşenin varsayılan çözümleme ayarı alınacak ve kazanç bu ayara göre raporlanacaktır.</w:t>
            </w:r>
          </w:p>
        </w:tc>
      </w:tr>
    </w:tbl>
    <w:p>
      <w:pPr>
        <w:pStyle w:val="Heading1"/>
        <w:spacing w:after="140" w:before="320"/>
      </w:pPr>
      <w:r>
        <w:rPr>
          <w:rFonts w:ascii="Times New Roman" w:cs="Times New Roman" w:eastAsia="Times New Roman" w:hAnsi="Times New Roman"/>
          <w:b/>
          <w:bCs/>
          <w:sz w:val="25"/>
          <w:szCs w:val="25"/>
        </w:rPr>
        <w:t xml:space="preserve">4. “ASR Hatası mı, Öğrenci Hatası mı” Ayrımının Adı Konmuş Bileşene Dönüştürülmesi</w:t>
      </w:r>
    </w:p>
    <w:p>
      <w:pPr>
        <w:spacing w:after="140" w:line="264"/>
        <w:jc w:val="both"/>
      </w:pPr>
      <w:r>
        <w:rPr>
          <w:rFonts w:ascii="Times New Roman" w:cs="Times New Roman" w:eastAsia="Times New Roman" w:hAnsi="Times New Roman"/>
          <w:b w:val="false"/>
          <w:bCs w:val="false"/>
          <w:i w:val="false"/>
          <w:iCs w:val="false"/>
          <w:sz w:val="21"/>
          <w:szCs w:val="21"/>
        </w:rPr>
        <w:t xml:space="preserve">Formda bu ayrımın yapılacağı ve proje-özgü teknik belirsizliklerden biri olduğu yazılıdır; ancak ne model, ne özellik kümesi, ne de başarı ölçütü verilmiştir. Oysa incelenen rakip ürünlerin hiçbirinde bu yetenek bulunmamaktadır ve gerçek özgünlük büyük ölçüde buradan çıkmaktadır. Somutlaştırılmadığı için hakem bunu ölçülemeyen bir iddia olarak işaretler.</w:t>
      </w:r>
    </w:p>
    <w:p>
      <w:pPr>
        <w:spacing w:after="80" w:before="100"/>
      </w:pPr>
      <w:r>
        <w:rPr>
          <w:rFonts w:ascii="Times New Roman" w:cs="Times New Roman" w:eastAsia="Times New Roman" w:hAnsi="Times New Roman"/>
          <w:b/>
          <w:bCs/>
          <w:sz w:val="21"/>
          <w:szCs w:val="21"/>
        </w:rPr>
        <w:t xml:space="preserve">PRODİS konumu → </w:t>
      </w:r>
      <w:r>
        <w:rPr>
          <w:rFonts w:ascii="Times New Roman" w:cs="Times New Roman" w:eastAsia="Times New Roman" w:hAnsi="Times New Roman"/>
          <w:sz w:val="21"/>
          <w:szCs w:val="21"/>
        </w:rPr>
        <w:t xml:space="preserve">B.2 → Teknik ve teknolojiler tablosuna YENİ SATIR ekleyin (mevcut “HKO-YHÜO-WER Tabanlı Hata-Koruyan Akustik Çözümleme” satırının hemen altına).</w:t>
      </w:r>
    </w:p>
    <w:p>
      <w:pPr>
        <w:spacing w:after="80" w:line="264"/>
        <w:jc w:val="both"/>
      </w:pPr>
      <w:r>
        <w:rPr>
          <w:rFonts w:ascii="Times New Roman" w:cs="Times New Roman" w:eastAsia="Times New Roman" w:hAnsi="Times New Roman"/>
          <w:b w:val="false"/>
          <w:bCs w:val="false"/>
          <w:i w:val="false"/>
          <w:iCs w:val="false"/>
          <w:sz w:val="21"/>
          <w:szCs w:val="21"/>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tblHeader/>
        </w:trPr>
        <w:tc>
          <w:tcPr>
            <w:tcW w:type="dxa" w:w="2600"/>
            <w:shd w:fill="D9D9D9"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Sütun</w:t>
            </w:r>
          </w:p>
        </w:tc>
        <w:tc>
          <w:tcPr>
            <w:tcW w:type="dxa" w:w="6470"/>
            <w:shd w:fill="D9D9D9"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Girilecek içerik</w:t>
            </w:r>
          </w:p>
        </w:tc>
      </w:tr>
      <w:tr>
        <w:tc>
          <w:tcPr>
            <w:tcW w:type="dxa" w:w="2600"/>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Teknik / Teknolojinin Adı</w:t>
            </w:r>
          </w:p>
        </w:tc>
        <w:tc>
          <w:tcPr>
            <w:tcW w:type="dxa" w:w="647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Okuma Hatası – Sistem Hatası Ayrıştırıcısı (Belirsizlik Temelli Kaynak Atfı)</w:t>
            </w:r>
          </w:p>
        </w:tc>
      </w:tr>
      <w:tr>
        <w:tc>
          <w:tcPr>
            <w:tcW w:type="dxa" w:w="2600"/>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Kullanılacak / Geliştirilecek</w:t>
            </w:r>
          </w:p>
        </w:tc>
        <w:tc>
          <w:tcPr>
            <w:tcW w:type="dxa" w:w="647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Geliştirilecek</w:t>
            </w:r>
          </w:p>
        </w:tc>
      </w:tr>
      <w:tr>
        <w:tc>
          <w:tcPr>
            <w:tcW w:type="dxa" w:w="2600"/>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Projede Niçin İhtiyaç Duyulduğu</w:t>
            </w:r>
          </w:p>
        </w:tc>
        <w:tc>
          <w:tcPr>
            <w:tcW w:type="dxa" w:w="647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Referans metinden sapan her çıktı öğrenci hatası değildir; çocuk konuşmasının akustik değişkenliği, ortam koşulları veya çözümleme bileşeninin kendi hatası da sapma üretebilir. Sapmanın kaynağının öğrenciye mi yoksa sisteme mi ait olduğunu ayıran bir karar bileşeni geliştirilecektir.</w:t>
            </w:r>
          </w:p>
        </w:tc>
      </w:tr>
      <w:tr>
        <w:tc>
          <w:tcPr>
            <w:tcW w:type="dxa" w:w="2600"/>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Projenin Hangi Aşamasını İlgilendirdiği</w:t>
            </w:r>
          </w:p>
        </w:tc>
        <w:tc>
          <w:tcPr>
            <w:tcW w:type="dxa" w:w="647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İP5 ve İP3</w:t>
            </w:r>
          </w:p>
        </w:tc>
      </w:tr>
      <w:tr>
        <w:tc>
          <w:tcPr>
            <w:tcW w:type="dxa" w:w="2600"/>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Çalışmayı Yürütecek Personel</w:t>
            </w:r>
          </w:p>
        </w:tc>
        <w:tc>
          <w:tcPr>
            <w:tcW w:type="dxa" w:w="647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[teknik ekip adları]</w:t>
            </w:r>
          </w:p>
        </w:tc>
      </w:tr>
    </w:tbl>
    <w:p>
      <w:pPr>
        <w:spacing w:after="140" w:line="264"/>
        <w:jc w:val="both"/>
      </w:pPr>
      <w:r>
        <w:rPr>
          <w:rFonts w:ascii="Times New Roman" w:cs="Times New Roman" w:eastAsia="Times New Roman" w:hAnsi="Times New Roman"/>
          <w:b w:val="false"/>
          <w:bCs w:val="false"/>
          <w:i w:val="false"/>
          <w:iCs w:val="false"/>
          <w:sz w:val="21"/>
          <w:szCs w:val="21"/>
        </w:rPr>
        <w:t xml:space="preserve"/>
      </w:r>
    </w:p>
    <w:p>
      <w:pPr>
        <w:spacing w:after="80" w:before="100"/>
      </w:pPr>
      <w:r>
        <w:rPr>
          <w:rFonts w:ascii="Times New Roman" w:cs="Times New Roman" w:eastAsia="Times New Roman" w:hAnsi="Times New Roman"/>
          <w:b/>
          <w:bCs/>
          <w:sz w:val="21"/>
          <w:szCs w:val="21"/>
        </w:rPr>
        <w:t xml:space="preserve">PRODİS konumu → </w:t>
      </w:r>
      <w:r>
        <w:rPr>
          <w:rFonts w:ascii="Times New Roman" w:cs="Times New Roman" w:eastAsia="Times New Roman" w:hAnsi="Times New Roman"/>
          <w:sz w:val="21"/>
          <w:szCs w:val="21"/>
        </w:rPr>
        <w:t xml:space="preserve">B.1 → 2. soru, “ASR çıktısındaki her farklılık doğrudan öğrenci hatası kabul edilmeyecektir” cümlesinin bulunduğu paragrafı aşağıdakiyle değiştirin.</w:t>
      </w:r>
    </w:p>
    <w:tbl>
      <w:tblPr>
        <w:tblW w:type="dxa" w:w="9070"/>
        <w:tblBorders>
          <w:top w:val="single" w:color="999999" w:sz="4"/>
          <w:left w:val="single" w:color="999999" w:sz="4"/>
          <w:bottom w:val="single" w:color="999999" w:sz="4"/>
          <w:right w:val="single" w:color="999999" w:sz="4"/>
          <w:insideH w:val="none"/>
          <w:insideV w:val="none"/>
        </w:tblBorders>
      </w:tblPr>
      <w:tblGrid>
        <w:gridCol w:w="9070"/>
      </w:tblGrid>
      <w:tr>
        <w:tc>
          <w:tcPr>
            <w:tcW w:type="dxa" w:w="9070"/>
            <w:shd w:fill="F2F2F2" w:color="auto" w:val="clear"/>
            <w:tcMar>
              <w:top w:type="dxa" w:w="140"/>
              <w:left w:type="dxa" w:w="160"/>
              <w:bottom w:type="dxa" w:w="140"/>
              <w:right w:type="dxa" w:w="160"/>
            </w:tcMar>
          </w:tcPr>
          <w:p>
            <w:pPr>
              <w:spacing w:after="120" w:line="264"/>
              <w:jc w:val="both"/>
            </w:pPr>
            <w:r>
              <w:rPr>
                <w:rFonts w:ascii="Times New Roman" w:cs="Times New Roman" w:eastAsia="Times New Roman" w:hAnsi="Times New Roman"/>
                <w:sz w:val="20"/>
                <w:szCs w:val="20"/>
              </w:rPr>
              <w:t xml:space="preserve">ASR çıktısındaki her farklılık doğrudan öğrenci hatası kabul edilmeyecektir. Sapmanın kaynağı, adı konmuş bir karar bileşeni tarafından belirlenecektir. Bileşenin girdi özellikleri; sözcük düzeyi çözümleme güveni ve olabilirlik değeri, N-en-iyi aday listesindeki tutarlılık, iki kollu çözümlemenin kolları arasındaki uyuşmazlık, referans ile okunan sözcük arasındaki fonem mesafesi, hizalama maliyet farkı, sözcük süresi ve tempo anomalisi ile komşu sözcük bağlamıdır. Bu özellikler üzerinde, yalnız uzman etiketli kalibrasyon verisinde öğrenilen ikili bir sınıflandırıcı kullanılacak; sınıflandırıcının çıktısı hata olayına eklenen bir kaynak etiketi ve güven değeri olarak raporlanacaktır.</w:t>
            </w:r>
          </w:p>
          <w:p>
            <w:pPr>
              <w:spacing w:after="0" w:line="264"/>
              <w:jc w:val="both"/>
            </w:pPr>
            <w:r>
              <w:rPr>
                <w:rFonts w:ascii="Times New Roman" w:cs="Times New Roman" w:eastAsia="Times New Roman" w:hAnsi="Times New Roman"/>
                <w:sz w:val="20"/>
                <w:szCs w:val="20"/>
              </w:rPr>
              <w:t xml:space="preserve">Bileşenin başarımı ayrı olarak ölçülecektir. Kontrollü olarak bozulmuş kayıtlar (eklenmiş ortam gürültüsü, düşürülmüş sinyal-gürültü oranı, sıkıştırma bozulması) üzerinde, sistem kaynaklı sapmaların doğru biçimde “sistem hatası” olarak işaretlenme oranı ve gerçek öğrenci hatalarının yanlışlıkla sistem hatası sayılma oranı birlikte raporlanacaktır. Bu ayrımın hangi doğrulukta yapılabileceği başlangıçta bilinmemektedir ve projenin ölçülecek teknik belirsizliklerinden biridir.</w:t>
            </w:r>
          </w:p>
        </w:tc>
      </w:tr>
    </w:tbl>
    <w:p>
      <w:pPr>
        <w:pStyle w:val="Heading1"/>
        <w:spacing w:after="140" w:before="320"/>
      </w:pPr>
      <w:r>
        <w:rPr>
          <w:rFonts w:ascii="Times New Roman" w:cs="Times New Roman" w:eastAsia="Times New Roman" w:hAnsi="Times New Roman"/>
          <w:b/>
          <w:bCs/>
          <w:sz w:val="25"/>
          <w:szCs w:val="25"/>
        </w:rPr>
        <w:t xml:space="preserve">5. Fonem Mesafesi Özgünlük İddiasının Yeniden Konumlandırılması</w:t>
      </w:r>
    </w:p>
    <w:p>
      <w:pPr>
        <w:spacing w:after="140" w:line="264"/>
        <w:jc w:val="both"/>
      </w:pPr>
      <w:r>
        <w:rPr>
          <w:rFonts w:ascii="Times New Roman" w:cs="Times New Roman" w:eastAsia="Times New Roman" w:hAnsi="Times New Roman"/>
          <w:b w:val="false"/>
          <w:bCs w:val="false"/>
          <w:i w:val="false"/>
          <w:iCs w:val="false"/>
          <w:sz w:val="21"/>
          <w:szCs w:val="21"/>
        </w:rPr>
        <w:t xml:space="preserve">Ağırlıklandırılmış fonetik düzenleme mesafesi, telaffuz hatası tespiti literatüründe bilinen bir tekniktir. Kendi kaynaklarınızdan Gao ve ark. çalışması zaten yazımsal ve anlamsal benzerlik kullanmaktadır. Bölüm 0'daki deney, kaba fonem sınıfı mesafesinin yazımsal mesafeyi geçemediğini göstermiştir. Bu nedenle özgünlük iddiası, mesafenin kullanılmasından, mesafenin nasıl elde edildiğine kaydırılmalıdır.</w:t>
      </w:r>
    </w:p>
    <w:p>
      <w:pPr>
        <w:spacing w:after="80" w:before="100"/>
      </w:pPr>
      <w:r>
        <w:rPr>
          <w:rFonts w:ascii="Times New Roman" w:cs="Times New Roman" w:eastAsia="Times New Roman" w:hAnsi="Times New Roman"/>
          <w:b/>
          <w:bCs/>
          <w:sz w:val="21"/>
          <w:szCs w:val="21"/>
        </w:rPr>
        <w:t xml:space="preserve">PRODİS konumu → </w:t>
      </w:r>
      <w:r>
        <w:rPr>
          <w:rFonts w:ascii="Times New Roman" w:cs="Times New Roman" w:eastAsia="Times New Roman" w:hAnsi="Times New Roman"/>
          <w:sz w:val="21"/>
          <w:szCs w:val="21"/>
        </w:rPr>
        <w:t xml:space="preserve">B.4 → “Yenilikler” alanı, “İkinci ve temel yenilik…” ile başlayan paragrafı aşağıdakiyle değiştirin.</w:t>
      </w:r>
    </w:p>
    <w:tbl>
      <w:tblPr>
        <w:tblW w:type="dxa" w:w="9070"/>
        <w:tblBorders>
          <w:top w:val="single" w:color="999999" w:sz="4"/>
          <w:left w:val="single" w:color="999999" w:sz="4"/>
          <w:bottom w:val="single" w:color="999999" w:sz="4"/>
          <w:right w:val="single" w:color="999999" w:sz="4"/>
          <w:insideH w:val="none"/>
          <w:insideV w:val="none"/>
        </w:tblBorders>
      </w:tblPr>
      <w:tblGrid>
        <w:gridCol w:w="9070"/>
      </w:tblGrid>
      <w:tr>
        <w:tc>
          <w:tcPr>
            <w:tcW w:type="dxa" w:w="9070"/>
            <w:shd w:fill="F2F2F2" w:color="auto" w:val="clear"/>
            <w:tcMar>
              <w:top w:type="dxa" w:w="140"/>
              <w:left w:type="dxa" w:w="160"/>
              <w:bottom w:type="dxa" w:w="140"/>
              <w:right w:type="dxa" w:w="160"/>
            </w:tcMar>
          </w:tcPr>
          <w:p>
            <w:pPr>
              <w:spacing w:after="120" w:line="264"/>
              <w:jc w:val="both"/>
            </w:pPr>
            <w:r>
              <w:rPr>
                <w:rFonts w:ascii="Times New Roman" w:cs="Times New Roman" w:eastAsia="Times New Roman" w:hAnsi="Times New Roman"/>
                <w:sz w:val="20"/>
                <w:szCs w:val="20"/>
              </w:rPr>
              <w:t xml:space="preserve">İkinci ve temel yenilik, klasik sabit sözcük değiştirme maliyetinin yerine, Türkçe fonem dizileri arasındaki ayırt edici özellik temelli ve veriden öğrenilen bir mesafenin kullanılmasıdır. Yenilik iddiası fonetik mesafe kullanmanın kendisi değildir; bu yaklaşım literatürde bilinmektedir. İddia üç noktada tanımlanmıştır. Birincisi, mesafenin ünlü/ünsüz gibi kaba sınıflar yerine çıkış yeri, çıkış biçimi ve ötümlülük özelliklerinden türetilmesidir. Kuruluşun başvuru öncesi ablasyon deneyi, kontrollü 1.032 hata olayı üzerinde ve her yöntem kendi en uygun eşiğinde çalıştırıldığında, zorlayıcı koşulda yazımsal mesafenin 0,9361, kaba sınıf temelli fonem mesafesinin 0,9381, ayırt edici özellik temelli fonem mesafesinin ise 0,9479 Macro-F1 verdiğini göstermiştir. İkincisi, özellik ağırlıklarının ve karar eşiklerinin elle atanmayıp uzman etiketli çocuk okuma verisinden öğrenilmesidir. Aynı deney, karar eşiğinin mesafe modelinden daha belirleyici olduğunu ortaya koymuştur: sınıf temelli model yalnız eşik değişimiyle 0,9381 ile 0,8108 arasında değişmekte, başlangıçta sezgisel olarak atanan 0,34 değeri hiçbir fonem modeli için en uygun değer olmamaktadır. Üçüncüsü, mesafenin Türkçe morfofonolojik sesletim katmanı üzerine kurulmasıdır.</w:t>
            </w:r>
          </w:p>
          <w:p>
            <w:pPr>
              <w:spacing w:after="0" w:line="264"/>
              <w:jc w:val="both"/>
            </w:pPr>
            <w:r>
              <w:rPr>
                <w:rFonts w:ascii="Times New Roman" w:cs="Times New Roman" w:eastAsia="Times New Roman" w:hAnsi="Times New Roman"/>
                <w:sz w:val="20"/>
                <w:szCs w:val="20"/>
              </w:rPr>
              <w:t xml:space="preserve">Maliyet matrisi bir ızgara taramasıyla değil, öğrenme problemi olarak ele alınacaktır. Uzman etiketli kalibrasyon kümesindeki telaffuz sapması / sözcük değiştirme olayları üzerinde, özellik farklarının doğrusal birleşimiyle tanımlanan mesafe fonksiyonunun serbest parametreleri (üç fonetik boyutun ağırlıkları, boşluk maliyeti, karar eşiği) sınıflandırma kaybını en aza indirecek biçimde öğrenilecektir. Serbest parametre sayısı, 18 katılımcılık kalibrasyon kümesinde aşırı uyumu önlemek amacıyla ondan az tutulacak ve katılımcı-dışarıda-bırakmalı çapraz doğrulama uygulanacaktır.</w:t>
            </w:r>
          </w:p>
        </w:tc>
      </w:tr>
    </w:tbl>
    <w:p>
      <w:pPr>
        <w:pStyle w:val="Heading1"/>
        <w:spacing w:after="140" w:before="320"/>
      </w:pPr>
      <w:r>
        <w:rPr>
          <w:rFonts w:ascii="Times New Roman" w:cs="Times New Roman" w:eastAsia="Times New Roman" w:hAnsi="Times New Roman"/>
          <w:b/>
          <w:bCs/>
          <w:sz w:val="25"/>
          <w:szCs w:val="25"/>
        </w:rPr>
        <w:t xml:space="preserve">6. Türkçe'ye Özgülük İddiasındaki Çelişkinin Giderilmesi ve Sayısallaştırılması</w:t>
      </w:r>
    </w:p>
    <w:p>
      <w:pPr>
        <w:spacing w:after="140" w:line="264"/>
        <w:jc w:val="both"/>
      </w:pPr>
      <w:r>
        <w:rPr>
          <w:rFonts w:ascii="Times New Roman" w:cs="Times New Roman" w:eastAsia="Times New Roman" w:hAnsi="Times New Roman"/>
          <w:b w:val="false"/>
          <w:bCs w:val="false"/>
          <w:i w:val="false"/>
          <w:iCs w:val="false"/>
          <w:sz w:val="21"/>
          <w:szCs w:val="21"/>
        </w:rPr>
        <w:t xml:space="preserve">B.1'de bir yandan “Türkçenin düzenli yazı-ses ilişkisi kural tabanlı sesletim üretimini mümkün kılmaktadır” denmekte, diğer yandan dile özgü modellemenin zorunlu olduğu savunulmaktadır. Hakem bu ikisini yan yana görürse dile özgü katmanın katkısını sorgular. Üstelik planınız katkı sağlamayan kural ailelerinin çıkarılacağını söylemektedir; ablasyon “hiçbiri katkı sağlamadı” sonucu verirse Türkçe özgüllüğü iddiası tümüyle düşer. Çözüm, düzenliliğin nerede bozulduğunu sayısallaştırmaktır.</w:t>
      </w:r>
    </w:p>
    <w:p>
      <w:pPr>
        <w:spacing w:after="80" w:before="40"/>
      </w:pPr>
      <w:r>
        <w:rPr>
          <w:rFonts w:ascii="Times New Roman" w:cs="Times New Roman" w:eastAsia="Times New Roman" w:hAnsi="Times New Roman"/>
          <w:b/>
          <w:bCs/>
          <w:sz w:val="21"/>
          <w:szCs w:val="21"/>
        </w:rPr>
        <w:t xml:space="preserve">Yapılacak işlem → </w:t>
      </w:r>
      <w:r>
        <w:rPr>
          <w:rFonts w:ascii="Times New Roman" w:cs="Times New Roman" w:eastAsia="Times New Roman" w:hAnsi="Times New Roman"/>
          <w:sz w:val="21"/>
          <w:szCs w:val="21"/>
        </w:rPr>
        <w:t xml:space="preserve">Metin havuzu adaylarınız üzerinde tek seferlik bir sayım yapın: sözcüklerin yüzde kaçı ünlü daralması, ünsüz yumuşaması/sertleşmesi, ses düşmesi, ikizleşme, yumuşak g veya yabancı kökenli istisna kuralı gerektiriyor. Deponuzdaki g2p modülü bu sayımı yapacak altyapıya sahiptir.</w:t>
      </w:r>
    </w:p>
    <w:p>
      <w:pPr>
        <w:spacing w:after="80" w:before="100"/>
      </w:pPr>
      <w:r>
        <w:rPr>
          <w:rFonts w:ascii="Times New Roman" w:cs="Times New Roman" w:eastAsia="Times New Roman" w:hAnsi="Times New Roman"/>
          <w:b/>
          <w:bCs/>
          <w:sz w:val="21"/>
          <w:szCs w:val="21"/>
        </w:rPr>
        <w:t xml:space="preserve">PRODİS konumu → </w:t>
      </w:r>
      <w:r>
        <w:rPr>
          <w:rFonts w:ascii="Times New Roman" w:cs="Times New Roman" w:eastAsia="Times New Roman" w:hAnsi="Times New Roman"/>
          <w:sz w:val="21"/>
          <w:szCs w:val="21"/>
        </w:rPr>
        <w:t xml:space="preserve">B.1 → 1. soru, “Türkçenin eklemeli yapısı, ünlü uyumu, ünsüz benzeşmesi…” ile başlayan paragrafın yerine.</w:t>
      </w:r>
    </w:p>
    <w:tbl>
      <w:tblPr>
        <w:tblW w:type="dxa" w:w="9070"/>
        <w:tblBorders>
          <w:top w:val="single" w:color="999999" w:sz="4"/>
          <w:left w:val="single" w:color="999999" w:sz="4"/>
          <w:bottom w:val="single" w:color="999999" w:sz="4"/>
          <w:right w:val="single" w:color="999999" w:sz="4"/>
          <w:insideH w:val="none"/>
          <w:insideV w:val="none"/>
        </w:tblBorders>
      </w:tblPr>
      <w:tblGrid>
        <w:gridCol w:w="9070"/>
      </w:tblGrid>
      <w:tr>
        <w:tc>
          <w:tcPr>
            <w:tcW w:type="dxa" w:w="9070"/>
            <w:shd w:fill="F2F2F2" w:color="auto" w:val="clear"/>
            <w:tcMar>
              <w:top w:type="dxa" w:w="140"/>
              <w:left w:type="dxa" w:w="160"/>
              <w:bottom w:type="dxa" w:w="140"/>
              <w:right w:type="dxa" w:w="160"/>
            </w:tcMar>
          </w:tcPr>
          <w:p>
            <w:pPr>
              <w:spacing w:after="120" w:line="264"/>
              <w:jc w:val="both"/>
            </w:pPr>
            <w:r>
              <w:rPr>
                <w:rFonts w:ascii="Times New Roman" w:cs="Times New Roman" w:eastAsia="Times New Roman" w:hAnsi="Times New Roman"/>
                <w:sz w:val="20"/>
                <w:szCs w:val="20"/>
              </w:rPr>
              <w:t xml:space="preserve">Türkçenin yazı-ses ilişkisi birçok dile göre düzenlidir; ancak bu düzenlilik, harf-ses birebir eşlemesinin okuma değerlendirmesi için yeterli olduğu anlamına gelmemektedir. Kuruluşun başvuru öncesinde ilkokul 3-4. sınıf düzeyi aday okuma metinleri üzerinde yaptığı sayımda, sözcüklerin yaklaşık %[X]'inde birebir harf-ses eşlemesinin hatalı fonem dizisi ürettiği belirlenmiştir. Bu sözcükler; yumuşak g'nin ünlü uzatması, c/ç ve benzeri iki fonemli harflerin çözümlenmesi, son ses ünsüz yumuşaması, ünlü daralması, ses düşmesi, ikizleşme ve yabancı kökenli sözcük istisnaları kaynaklıdır. Fonem düzeyinde hata kararı verecek bir sistemde bu sözcüklerdeki sesletim hatası, doğrudan yanlış hata etiketine dönüşmektedir.</w:t>
            </w:r>
          </w:p>
          <w:p>
            <w:pPr>
              <w:spacing w:after="0" w:line="264"/>
              <w:jc w:val="both"/>
            </w:pPr>
            <w:r>
              <w:rPr>
                <w:rFonts w:ascii="Times New Roman" w:cs="Times New Roman" w:eastAsia="Times New Roman" w:hAnsi="Times New Roman"/>
                <w:sz w:val="20"/>
                <w:szCs w:val="20"/>
              </w:rPr>
              <w:t xml:space="preserve">Bu nedenle projede kural tabanlı sesletim üretimi, dile özgü bir morfofonolojik katmanla genişletilecektir. Her kural ailesinin hata sınıflandırmasına katkısı ayrı ablasyon deneyleriyle ölçülecek; ölçülebilir katkı sağlamayan kural aileleri nihai çekirdekten çıkarılacaktır. Bu ölçüm, dile özgü modellemenin gerekliliğinin varsayılmadığı, deneysel olarak sınandığı anlamına gelmektedir.</w:t>
            </w:r>
          </w:p>
        </w:tc>
      </w:tr>
    </w:tbl>
    <w:p>
      <w:pPr>
        <w:pStyle w:val="Heading1"/>
        <w:spacing w:after="140" w:before="320"/>
      </w:pPr>
      <w:r>
        <w:rPr>
          <w:rFonts w:ascii="Times New Roman" w:cs="Times New Roman" w:eastAsia="Times New Roman" w:hAnsi="Times New Roman"/>
          <w:b/>
          <w:bCs/>
          <w:sz w:val="25"/>
          <w:szCs w:val="25"/>
        </w:rPr>
        <w:t xml:space="preserve">7. Rakip Karşılaştırmasının Şeffaflıktan Yetenek Eksenine Kaydırılması</w:t>
      </w:r>
    </w:p>
    <w:p>
      <w:pPr>
        <w:spacing w:after="140" w:line="264"/>
        <w:jc w:val="both"/>
      </w:pPr>
      <w:r>
        <w:rPr>
          <w:rFonts w:ascii="Times New Roman" w:cs="Times New Roman" w:eastAsia="Times New Roman" w:hAnsi="Times New Roman"/>
          <w:b w:val="false"/>
          <w:bCs w:val="false"/>
          <w:i w:val="false"/>
          <w:iCs w:val="false"/>
          <w:sz w:val="21"/>
          <w:szCs w:val="21"/>
        </w:rPr>
        <w:t xml:space="preserve">B.4'teki karşılaştırma tablosunun ayırt edici satırlarının çoğu “Çekirdek şeffaflığı: açık / Kapalı” ve “Yerel yeniden kalibrasyon: belgelenmemiş” biçimindedir. Rakibin kapalı olması sizin teknolojik üstünlüğünüz değil, onların ticari tercihidir; hakem bunu Ar-Ge yeniliği değil ticari farklılaşma olarak okur. Tabloda gerçek yetenek farkı yalnız iki satırda görünmektedir.</w:t>
      </w:r>
    </w:p>
    <w:p>
      <w:pPr>
        <w:spacing w:after="80" w:before="40"/>
      </w:pPr>
      <w:r>
        <w:rPr>
          <w:rFonts w:ascii="Times New Roman" w:cs="Times New Roman" w:eastAsia="Times New Roman" w:hAnsi="Times New Roman"/>
          <w:b/>
          <w:bCs/>
          <w:sz w:val="21"/>
          <w:szCs w:val="21"/>
        </w:rPr>
        <w:t xml:space="preserve">Yapılacak işlem → </w:t>
      </w:r>
      <w:r>
        <w:rPr>
          <w:rFonts w:ascii="Times New Roman" w:cs="Times New Roman" w:eastAsia="Times New Roman" w:hAnsi="Times New Roman"/>
          <w:sz w:val="21"/>
          <w:szCs w:val="21"/>
        </w:rPr>
        <w:t xml:space="preserve">B.4 (b) tablosunda satır sırasını değiştirin: “Fonem farkını açıklama”, “Telaffuz-sözcük değiştirme ayrımı” ve “Hata koruma metriği” satırlarını en üste alın. “Çekirdek şeffaflığı” ve “Yerel yeniden kalibrasyon” satırlarını tablodan çıkarıp D.1.2.3 (Değer Önerisi ve Teknolojik Rekabet) bölümüne taşıyın; orada ticari değer olarak zaten anlatılmaktadır.</w:t>
      </w:r>
    </w:p>
    <w:p>
      <w:pPr>
        <w:spacing w:after="80" w:before="40"/>
      </w:pPr>
      <w:r>
        <w:rPr>
          <w:rFonts w:ascii="Times New Roman" w:cs="Times New Roman" w:eastAsia="Times New Roman" w:hAnsi="Times New Roman"/>
          <w:b/>
          <w:bCs/>
          <w:sz w:val="21"/>
          <w:szCs w:val="21"/>
        </w:rPr>
        <w:t xml:space="preserve">Yapılacak işlem → </w:t>
      </w:r>
      <w:r>
        <w:rPr>
          <w:rFonts w:ascii="Times New Roman" w:cs="Times New Roman" w:eastAsia="Times New Roman" w:hAnsi="Times New Roman"/>
          <w:sz w:val="21"/>
          <w:szCs w:val="21"/>
        </w:rPr>
        <w:t xml:space="preserve">İP6.4b'yi alt faaliyet olmaktan çıkarıp görünür kılın ve ölçütünü tanımlayın. İP6'nın deney tablosundaki “Rakip sistem işlevsel karşılaştırma analizi” satırının “Yapılma Nedeni” hücresini aşağıdakiyle değiştirin.</w:t>
      </w:r>
    </w:p>
    <w:tbl>
      <w:tblPr>
        <w:tblW w:type="dxa" w:w="9070"/>
        <w:tblBorders>
          <w:top w:val="single" w:color="999999" w:sz="4"/>
          <w:left w:val="single" w:color="999999" w:sz="4"/>
          <w:bottom w:val="single" w:color="999999" w:sz="4"/>
          <w:right w:val="single" w:color="999999" w:sz="4"/>
          <w:insideH w:val="none"/>
          <w:insideV w:val="none"/>
        </w:tblBorders>
      </w:tblPr>
      <w:tblGrid>
        <w:gridCol w:w="9070"/>
      </w:tblGrid>
      <w:tr>
        <w:tc>
          <w:tcPr>
            <w:tcW w:type="dxa" w:w="9070"/>
            <w:shd w:fill="F2F2F2" w:color="auto" w:val="clear"/>
            <w:tcMar>
              <w:top w:type="dxa" w:w="140"/>
              <w:left w:type="dxa" w:w="160"/>
              <w:bottom w:type="dxa" w:w="140"/>
              <w:right w:type="dxa" w:w="160"/>
            </w:tcMar>
          </w:tcPr>
          <w:p>
            <w:pPr>
              <w:spacing w:after="0" w:line="264"/>
              <w:jc w:val="both"/>
            </w:pPr>
            <w:r>
              <w:rPr>
                <w:rFonts w:ascii="Times New Roman" w:cs="Times New Roman" w:eastAsia="Times New Roman" w:hAnsi="Times New Roman"/>
                <w:sz w:val="20"/>
                <w:szCs w:val="20"/>
              </w:rPr>
              <w:t xml:space="preserve">Önerilen sistemin ticari benzerlerine göre ölçülebilir üstünlük ve sınırlılıklarını göstermek amacıyla, aynı kilitli test kayıtları ve aynı uzman altın etiketi üzerinde işlevsel karşılaştırma yapılacaktır. Karşılaştırma yalnız her iki sistemde de bulunan örtüşen hata kategorilerinde (yanlış telaffuz, atlama, ekleme, tekrar, kendini düzeltme) yürütülecek; her kategoride precision, recall ve F1 ile katılımcı düzeyinde kümelenmiş %95 güven aralıkları raporlanacaktır. Hedef, örtüşen kategorilerin toplamında karşılaştırılan ticari sistemin Macro-F1 değerinin altında kalmamak ve telaffuz sapması ile sözcük değiştirmenin ayrıştırılması ile fonem düzeyi fark açıklaması yeteneklerinde karşılaştırılan sistemde bulunmayan çıktıyı belgelemektir.</w:t>
            </w:r>
          </w:p>
        </w:tc>
      </w:tr>
    </w:tbl>
    <w:p>
      <w:pPr>
        <w:pStyle w:val="Heading1"/>
        <w:spacing w:after="140" w:before="320"/>
      </w:pPr>
      <w:r>
        <w:rPr>
          <w:rFonts w:ascii="Times New Roman" w:cs="Times New Roman" w:eastAsia="Times New Roman" w:hAnsi="Times New Roman"/>
          <w:b/>
          <w:bCs/>
          <w:sz w:val="25"/>
          <w:szCs w:val="25"/>
        </w:rPr>
        <w:t xml:space="preserve">8. Güç Analizinin Forma Yazılması</w:t>
      </w:r>
    </w:p>
    <w:p>
      <w:pPr>
        <w:spacing w:after="140" w:line="264"/>
        <w:jc w:val="both"/>
      </w:pPr>
      <w:r>
        <w:rPr>
          <w:rFonts w:ascii="Times New Roman" w:cs="Times New Roman" w:eastAsia="Times New Roman" w:hAnsi="Times New Roman"/>
          <w:b w:val="false"/>
          <w:bCs w:val="false"/>
          <w:i w:val="false"/>
          <w:iCs w:val="false"/>
          <w:sz w:val="21"/>
          <w:szCs w:val="21"/>
        </w:rPr>
        <w:t xml:space="preserve">İP2'nin adı “Güç Analizine Dayalı Uzman Etiketli Okuma Derlemi”dir, ancak formda hiçbir güç analizi hesabı yer almamaktadır. Risk tablosundaki “kilitli test katılımcısı 51'in altına düşerse güç analizi koşulu sağlanmaz” ifadesi, bir hesabın yapıldığını göstermektedir. Metodolojik ciddiyet hakem raporunda en çok puan getiren unsurlardandır ve burada karşılıksız kaybedilmektedir.</w:t>
      </w:r>
    </w:p>
    <w:p>
      <w:pPr>
        <w:spacing w:after="80" w:before="100"/>
      </w:pPr>
      <w:r>
        <w:rPr>
          <w:rFonts w:ascii="Times New Roman" w:cs="Times New Roman" w:eastAsia="Times New Roman" w:hAnsi="Times New Roman"/>
          <w:b/>
          <w:bCs/>
          <w:sz w:val="21"/>
          <w:szCs w:val="21"/>
        </w:rPr>
        <w:t xml:space="preserve">PRODİS konumu → </w:t>
      </w:r>
      <w:r>
        <w:rPr>
          <w:rFonts w:ascii="Times New Roman" w:cs="Times New Roman" w:eastAsia="Times New Roman" w:hAnsi="Times New Roman"/>
          <w:sz w:val="21"/>
          <w:szCs w:val="21"/>
        </w:rPr>
        <w:t xml:space="preserve">İP2 → 2. madde (“İş paketinde kullanılacak yöntemleri … açıklayınız”), ilk paragrafın başına ekleyin.</w:t>
      </w:r>
    </w:p>
    <w:tbl>
      <w:tblPr>
        <w:tblW w:type="dxa" w:w="9070"/>
        <w:tblBorders>
          <w:top w:val="single" w:color="999999" w:sz="4"/>
          <w:left w:val="single" w:color="999999" w:sz="4"/>
          <w:bottom w:val="single" w:color="999999" w:sz="4"/>
          <w:right w:val="single" w:color="999999" w:sz="4"/>
          <w:insideH w:val="none"/>
          <w:insideV w:val="none"/>
        </w:tblBorders>
      </w:tblPr>
      <w:tblGrid>
        <w:gridCol w:w="9070"/>
      </w:tblGrid>
      <w:tr>
        <w:tc>
          <w:tcPr>
            <w:tcW w:type="dxa" w:w="9070"/>
            <w:shd w:fill="F2F2F2" w:color="auto" w:val="clear"/>
            <w:tcMar>
              <w:top w:type="dxa" w:w="140"/>
              <w:left w:type="dxa" w:w="160"/>
              <w:bottom w:type="dxa" w:w="140"/>
              <w:right w:type="dxa" w:w="160"/>
            </w:tcMar>
          </w:tcPr>
          <w:p>
            <w:pPr>
              <w:spacing w:after="0" w:line="264"/>
              <w:jc w:val="both"/>
            </w:pPr>
            <w:r>
              <w:rPr>
                <w:rFonts w:ascii="Times New Roman" w:cs="Times New Roman" w:eastAsia="Times New Roman" w:hAnsi="Times New Roman"/>
                <w:sz w:val="20"/>
                <w:szCs w:val="20"/>
              </w:rPr>
              <w:t xml:space="preserve">Örneklem büyüklüğü güç analiziyle belirlenmiştir. Birincil analiz birimi katılımcı düzeyinde toplulaştırılmış ölçümlerdir. Sistem-uzman akıcılık uyumunda hedeflenen Pearson r ≥ 0,80 değerinin, sıfır hipotezi r = 0,60 olacak biçimde iki yönlü α = 0,05 ve %80 güçle saptanabilmesi için gereken en küçük katılımcı sayısı [N] olarak hesaplanmıştır. Hata sınıflandırması tarafında, her katılımcının altı metin okuması ve kayıt başına ortalama [k] hata olayı beklentisi altında, 54 katılımcılık kilitli test kümesinde toplam yaklaşık [E] hata olayına ulaşılması; bu sayının üç ana sınıfta sınıf başına Macro-F1 için ±0,05 genişliğinde güven aralığı üretmeye yeterli olması öngörülmektedir. Tekrarlı ölçümlerin bağımsız gözlem sayılmaması nedeniyle etkin örneklem büyüklüğü katılımcı düzeyinde alınmış, güven aralıkları katılımcı bazında kümelenmiş önyükleme ile üretilecektir. Katılımcı kaybı ve kullanılamayan kayıtlar dikkate alınarak en fazla 80 katılımcıya erişim planlanmış; kilitli test kümesinde 51 katılımcının altına düşülmesi hâlinde güç koşulunun sağlanmayacağı ve nihai geçerlik iddiasının buna göre daraltılacağı önceden tanımlanmıştır.</w:t>
            </w:r>
          </w:p>
        </w:tc>
      </w:tr>
    </w:tbl>
    <w:p>
      <w:pPr>
        <w:spacing w:after="140" w:line="264"/>
        <w:jc w:val="both"/>
      </w:pPr>
      <w:r>
        <w:rPr>
          <w:rFonts w:ascii="Times New Roman" w:cs="Times New Roman" w:eastAsia="Times New Roman" w:hAnsi="Times New Roman"/>
          <w:b w:val="false"/>
          <w:bCs w:val="false"/>
          <w:i/>
          <w:iCs/>
          <w:sz w:val="21"/>
          <w:szCs w:val="21"/>
        </w:rPr>
        <w:t xml:space="preserve">Not: [N], [k] ve [E] değerlerini hesabınızdan doldurun. Beklenen olay sayısı için, ilkokul düzeyi okumalarda tipik hata oranı ve metin uzunluğunuz (60-150 sözcük) üzerinden basit bir kestirim yeterlidir.</w:t>
      </w:r>
    </w:p>
    <w:p>
      <w:pPr>
        <w:pStyle w:val="Heading1"/>
        <w:spacing w:after="140" w:before="320"/>
      </w:pPr>
      <w:r>
        <w:rPr>
          <w:rFonts w:ascii="Times New Roman" w:cs="Times New Roman" w:eastAsia="Times New Roman" w:hAnsi="Times New Roman"/>
          <w:b/>
          <w:bCs/>
          <w:sz w:val="25"/>
          <w:szCs w:val="25"/>
        </w:rPr>
        <w:t xml:space="preserve">9. B.2 Teknoloji Tablosunun İş Paketlerine Bağlanması</w:t>
      </w:r>
    </w:p>
    <w:p>
      <w:pPr>
        <w:spacing w:after="140" w:line="264"/>
        <w:jc w:val="both"/>
      </w:pPr>
      <w:r>
        <w:rPr>
          <w:rFonts w:ascii="Times New Roman" w:cs="Times New Roman" w:eastAsia="Times New Roman" w:hAnsi="Times New Roman"/>
          <w:b w:val="false"/>
          <w:bCs w:val="false"/>
          <w:i w:val="false"/>
          <w:iCs w:val="false"/>
          <w:sz w:val="21"/>
          <w:szCs w:val="21"/>
        </w:rPr>
        <w:t xml:space="preserve">Tablodaki on bir tekniğin tamamı “Proje Geneli” iş paketine atanmıştır. Hakem hangi tekniğin hangi iş paketinde geliştirileceğini göremediği için teknik-faaliyet-ara çıktı zincirini kuramaz; bu, önceki karardaki “iş zaman çizelgesi faaliyetlere uygun planlanmamış” eleştirisini yeniden davet eder. Ayrıca satırların neredeyse tamamı aynı iki kişiye yazılmıştır; bu deneysel yükün iki kişiyle taşınamayacağı görülür.</w:t>
      </w:r>
    </w:p>
    <w:p>
      <w:pPr>
        <w:spacing w:after="80" w:before="40"/>
      </w:pPr>
      <w:r>
        <w:rPr>
          <w:rFonts w:ascii="Times New Roman" w:cs="Times New Roman" w:eastAsia="Times New Roman" w:hAnsi="Times New Roman"/>
          <w:b/>
          <w:bCs/>
          <w:sz w:val="21"/>
          <w:szCs w:val="21"/>
        </w:rPr>
        <w:t xml:space="preserve">Yapılacak işlem → </w:t>
      </w:r>
      <w:r>
        <w:rPr>
          <w:rFonts w:ascii="Times New Roman" w:cs="Times New Roman" w:eastAsia="Times New Roman" w:hAnsi="Times New Roman"/>
          <w:sz w:val="21"/>
          <w:szCs w:val="21"/>
        </w:rPr>
        <w:t xml:space="preserve">“Projenin Hangi Aşamasını İlgilendirdiği” sütununu aşağıdaki gibi düzeltin ve personel dağılımını dengeleyin.</w:t>
      </w:r>
    </w:p>
    <w:p>
      <w:pPr>
        <w:spacing w:after="80" w:line="264"/>
        <w:jc w:val="both"/>
      </w:pPr>
      <w:r>
        <w:rPr>
          <w:rFonts w:ascii="Times New Roman" w:cs="Times New Roman" w:eastAsia="Times New Roman" w:hAnsi="Times New Roman"/>
          <w:b w:val="false"/>
          <w:bCs w:val="false"/>
          <w:i w:val="false"/>
          <w:iCs w:val="false"/>
          <w:sz w:val="21"/>
          <w:szCs w:val="21"/>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470"/>
        <w:gridCol w:w="2600"/>
      </w:tblGrid>
      <w:tr>
        <w:trPr>
          <w:tblHeader/>
        </w:trPr>
        <w:tc>
          <w:tcPr>
            <w:tcW w:type="dxa" w:w="6470"/>
            <w:shd w:fill="D9D9D9"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Teknik</w:t>
            </w:r>
          </w:p>
        </w:tc>
        <w:tc>
          <w:tcPr>
            <w:tcW w:type="dxa" w:w="2600"/>
            <w:shd w:fill="D9D9D9"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İş Paketi</w:t>
            </w:r>
          </w:p>
        </w:tc>
      </w:tr>
      <w:tr>
        <w:tc>
          <w:tcPr>
            <w:tcW w:type="dxa" w:w="6470"/>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Türkçe Sesten Metne Çözümleme ve Zaman Damgası Üretimi</w:t>
            </w:r>
          </w:p>
        </w:tc>
        <w:tc>
          <w:tcPr>
            <w:tcW w:type="dxa" w:w="26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İP5</w:t>
            </w:r>
          </w:p>
        </w:tc>
      </w:tr>
      <w:tr>
        <w:tc>
          <w:tcPr>
            <w:tcW w:type="dxa" w:w="6470"/>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HKO-YHÜO-WER Tabanlı Hata-Koruyan Akustik Çözümleme</w:t>
            </w:r>
          </w:p>
        </w:tc>
        <w:tc>
          <w:tcPr>
            <w:tcW w:type="dxa" w:w="26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İP5</w:t>
            </w:r>
          </w:p>
        </w:tc>
      </w:tr>
      <w:tr>
        <w:tc>
          <w:tcPr>
            <w:tcW w:type="dxa" w:w="6470"/>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Okuma Hatası – Sistem Hatası Ayrıştırıcısı (yeni satır)</w:t>
            </w:r>
          </w:p>
        </w:tc>
        <w:tc>
          <w:tcPr>
            <w:tcW w:type="dxa" w:w="26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İP5, İP3</w:t>
            </w:r>
          </w:p>
        </w:tc>
      </w:tr>
      <w:tr>
        <w:tc>
          <w:tcPr>
            <w:tcW w:type="dxa" w:w="6470"/>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Türkçe Fonem Sınıfı Duyarlı Yerine Koyma Maliyeti ve Hizalama</w:t>
            </w:r>
          </w:p>
        </w:tc>
        <w:tc>
          <w:tcPr>
            <w:tcW w:type="dxa" w:w="26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İP3</w:t>
            </w:r>
          </w:p>
        </w:tc>
      </w:tr>
      <w:tr>
        <w:tc>
          <w:tcPr>
            <w:tcW w:type="dxa" w:w="6470"/>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Ayırt Edici Fonetik Özellik Tabanlı Fonem Mesafe Modellemesi</w:t>
            </w:r>
          </w:p>
        </w:tc>
        <w:tc>
          <w:tcPr>
            <w:tcW w:type="dxa" w:w="26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İP3</w:t>
            </w:r>
          </w:p>
        </w:tc>
      </w:tr>
      <w:tr>
        <w:tc>
          <w:tcPr>
            <w:tcW w:type="dxa" w:w="6470"/>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Eşleşme Ödülü ve Göreli Konum Tabanlı Hizalama Belirsizliği Çözümü</w:t>
            </w:r>
          </w:p>
        </w:tc>
        <w:tc>
          <w:tcPr>
            <w:tcW w:type="dxa" w:w="26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İP3</w:t>
            </w:r>
          </w:p>
        </w:tc>
      </w:tr>
      <w:tr>
        <w:tc>
          <w:tcPr>
            <w:tcW w:type="dxa" w:w="6470"/>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Uzman Etiketli Veriye Dayalı Fonem Maliyeti ve Karar Eşiği Kalibrasyonu</w:t>
            </w:r>
          </w:p>
        </w:tc>
        <w:tc>
          <w:tcPr>
            <w:tcW w:type="dxa" w:w="26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İP3, İP2</w:t>
            </w:r>
          </w:p>
        </w:tc>
      </w:tr>
      <w:tr>
        <w:tc>
          <w:tcPr>
            <w:tcW w:type="dxa" w:w="6470"/>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Türkçe Morfofonolojik Sesletim ve G2P Modellemesi</w:t>
            </w:r>
          </w:p>
        </w:tc>
        <w:tc>
          <w:tcPr>
            <w:tcW w:type="dxa" w:w="26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İP3</w:t>
            </w:r>
          </w:p>
        </w:tc>
      </w:tr>
      <w:tr>
        <w:tc>
          <w:tcPr>
            <w:tcW w:type="dxa" w:w="6470"/>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Dizisel Hizalama Tabanlı Tekrar ve Kendini Düzeltme Örüntüsü Çözümleme</w:t>
            </w:r>
          </w:p>
        </w:tc>
        <w:tc>
          <w:tcPr>
            <w:tcW w:type="dxa" w:w="26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İP3</w:t>
            </w:r>
          </w:p>
        </w:tc>
      </w:tr>
      <w:tr>
        <w:tc>
          <w:tcPr>
            <w:tcW w:type="dxa" w:w="6470"/>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Uzman Konsensüslü Duraklama, Öbekleme ve Tempo Çözümlemesi</w:t>
            </w:r>
          </w:p>
        </w:tc>
        <w:tc>
          <w:tcPr>
            <w:tcW w:type="dxa" w:w="26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İP4</w:t>
            </w:r>
          </w:p>
        </w:tc>
      </w:tr>
      <w:tr>
        <w:tc>
          <w:tcPr>
            <w:tcW w:type="dxa" w:w="6470"/>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Uzman Verisiyle Kalibre Edilen Bileşik Akıcılık Göstergesi</w:t>
            </w:r>
          </w:p>
        </w:tc>
        <w:tc>
          <w:tcPr>
            <w:tcW w:type="dxa" w:w="26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İP4</w:t>
            </w:r>
          </w:p>
        </w:tc>
      </w:tr>
      <w:tr>
        <w:tc>
          <w:tcPr>
            <w:tcW w:type="dxa" w:w="6470"/>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Belirsizlik Temelli Aktif Örnek Seçimi ve Etiket Verimliliği Analizi</w:t>
            </w:r>
          </w:p>
        </w:tc>
        <w:tc>
          <w:tcPr>
            <w:tcW w:type="dxa" w:w="26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İP5</w:t>
            </w:r>
          </w:p>
        </w:tc>
      </w:tr>
      <w:tr>
        <w:tc>
          <w:tcPr>
            <w:tcW w:type="dxa" w:w="6470"/>
            <w:tcMar>
              <w:top w:type="dxa" w:w="60"/>
              <w:left w:type="dxa" w:w="90"/>
              <w:bottom w:type="dxa" w:w="60"/>
              <w:right w:type="dxa" w:w="90"/>
            </w:tcMar>
          </w:tcPr>
          <w:p>
            <w:pPr>
              <w:spacing w:after="0" w:line="240"/>
            </w:pPr>
            <w:r>
              <w:rPr>
                <w:rFonts w:ascii="Times New Roman" w:cs="Times New Roman" w:eastAsia="Times New Roman" w:hAnsi="Times New Roman"/>
                <w:b/>
                <w:bCs/>
                <w:sz w:val="18"/>
                <w:szCs w:val="18"/>
              </w:rPr>
              <w:t xml:space="preserve">Uzman Etiketleme, Altın Referans ve Etiket Güvenirliği Protokolü</w:t>
            </w:r>
          </w:p>
        </w:tc>
        <w:tc>
          <w:tcPr>
            <w:tcW w:type="dxa" w:w="260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8"/>
                <w:szCs w:val="18"/>
              </w:rPr>
              <w:t xml:space="preserve">İP2, İP6</w:t>
            </w:r>
          </w:p>
        </w:tc>
      </w:tr>
    </w:tbl>
    <w:p>
      <w:pPr>
        <w:spacing w:after="140" w:line="264"/>
        <w:jc w:val="both"/>
      </w:pPr>
      <w:r>
        <w:rPr>
          <w:rFonts w:ascii="Times New Roman" w:cs="Times New Roman" w:eastAsia="Times New Roman" w:hAnsi="Times New Roman"/>
          <w:b w:val="false"/>
          <w:bCs w:val="false"/>
          <w:i w:val="false"/>
          <w:iCs w:val="false"/>
          <w:sz w:val="21"/>
          <w:szCs w:val="21"/>
        </w:rPr>
        <w:t xml:space="preserve"/>
      </w:r>
    </w:p>
    <w:p>
      <w:pPr>
        <w:pStyle w:val="Heading1"/>
        <w:spacing w:after="140" w:before="320"/>
      </w:pPr>
      <w:r>
        <w:rPr>
          <w:rFonts w:ascii="Times New Roman" w:cs="Times New Roman" w:eastAsia="Times New Roman" w:hAnsi="Times New Roman"/>
          <w:b/>
          <w:bCs/>
          <w:sz w:val="25"/>
          <w:szCs w:val="25"/>
        </w:rPr>
        <w:t xml:space="preserve">10. Ön Fizibilite Bulgularının Güncellenmesi</w:t>
      </w:r>
    </w:p>
    <w:p>
      <w:pPr>
        <w:spacing w:after="140" w:line="264"/>
        <w:jc w:val="both"/>
      </w:pPr>
      <w:r>
        <w:rPr>
          <w:rFonts w:ascii="Times New Roman" w:cs="Times New Roman" w:eastAsia="Times New Roman" w:hAnsi="Times New Roman"/>
          <w:b w:val="false"/>
          <w:bCs w:val="false"/>
          <w:i w:val="false"/>
          <w:iCs w:val="false"/>
          <w:sz w:val="21"/>
          <w:szCs w:val="21"/>
        </w:rPr>
        <w:t xml:space="preserve">B.3'teki ön fizibilite özeti, deponuzdaki ölçümlerin bir kısmını içermemektedir. Özellikle yeni ablasyon deneyi, hizalama yönteminin katkısını doğrudan gösteren tek kanıttır ve forma girmelidir. Ayrıca %10,65 değerinin hangi model ve veri kümesinde elde edildiği belirtilmediği için doğrulanamaz görünmektedir.</w:t>
      </w:r>
    </w:p>
    <w:p>
      <w:pPr>
        <w:spacing w:after="80" w:before="100"/>
      </w:pPr>
      <w:r>
        <w:rPr>
          <w:rFonts w:ascii="Times New Roman" w:cs="Times New Roman" w:eastAsia="Times New Roman" w:hAnsi="Times New Roman"/>
          <w:b/>
          <w:bCs/>
          <w:sz w:val="21"/>
          <w:szCs w:val="21"/>
        </w:rPr>
        <w:t xml:space="preserve">PRODİS konumu → </w:t>
      </w:r>
      <w:r>
        <w:rPr>
          <w:rFonts w:ascii="Times New Roman" w:cs="Times New Roman" w:eastAsia="Times New Roman" w:hAnsi="Times New Roman"/>
          <w:sz w:val="21"/>
          <w:szCs w:val="21"/>
        </w:rPr>
        <w:t xml:space="preserve">B.3 → “Teknik ön fizibilite çalışmalarının özet bulguları” alanının tamamını aşağıdakiyle değiştirin.</w:t>
      </w:r>
    </w:p>
    <w:tbl>
      <w:tblPr>
        <w:tblW w:type="dxa" w:w="9070"/>
        <w:tblBorders>
          <w:top w:val="single" w:color="999999" w:sz="4"/>
          <w:left w:val="single" w:color="999999" w:sz="4"/>
          <w:bottom w:val="single" w:color="999999" w:sz="4"/>
          <w:right w:val="single" w:color="999999" w:sz="4"/>
          <w:insideH w:val="none"/>
          <w:insideV w:val="none"/>
        </w:tblBorders>
      </w:tblPr>
      <w:tblGrid>
        <w:gridCol w:w="9070"/>
      </w:tblGrid>
      <w:tr>
        <w:tc>
          <w:tcPr>
            <w:tcW w:type="dxa" w:w="9070"/>
            <w:shd w:fill="F2F2F2" w:color="auto" w:val="clear"/>
            <w:tcMar>
              <w:top w:type="dxa" w:w="140"/>
              <w:left w:type="dxa" w:w="160"/>
              <w:bottom w:type="dxa" w:w="140"/>
              <w:right w:type="dxa" w:w="160"/>
            </w:tcMar>
          </w:tcPr>
          <w:p>
            <w:pPr>
              <w:spacing w:after="120" w:line="264"/>
              <w:jc w:val="both"/>
            </w:pPr>
            <w:r>
              <w:rPr>
                <w:rFonts w:ascii="Times New Roman" w:cs="Times New Roman" w:eastAsia="Times New Roman" w:hAnsi="Times New Roman"/>
                <w:sz w:val="20"/>
                <w:szCs w:val="20"/>
              </w:rPr>
              <w:t xml:space="preserve">Kuruluş tarafından proje öncesinde dört teknik ön fizibilite çalışması yürütülmüştür.</w:t>
            </w:r>
          </w:p>
          <w:p>
            <w:pPr>
              <w:spacing w:after="120" w:line="264"/>
              <w:jc w:val="both"/>
            </w:pPr>
            <w:r>
              <w:rPr>
                <w:rFonts w:ascii="Times New Roman" w:cs="Times New Roman" w:eastAsia="Times New Roman" w:hAnsi="Times New Roman"/>
                <w:sz w:val="20"/>
                <w:szCs w:val="20"/>
              </w:rPr>
              <w:t xml:space="preserve">Birincisi, hazır konuşma tanıma yapılandırmalarının Türkçe başarım ölçümüdür. FLEURS tr_tr test kümesinden 200 örnek üzerinde, kuruluşun kendi donanımında (NVIDIA RTX 4070) ek eğitim uygulanmaksızın whisper-small %16,58, whisper-medium %10,65 ve whisper-large-v3 %5,39 Sözcük Hata Oranı üretmiştir. Yetişkin ve temiz kayıtta Türkçe konuşma tanımanın kullanılabilir doğruluğa ulaştığını gösteren bu sonuç, projenin genel amaçlı ASR geliştirmek yerine ölçme-değerlendirme katmanına odaklanması gerektiğinin nesnel gerekçesidir.</w:t>
            </w:r>
          </w:p>
          <w:p>
            <w:pPr>
              <w:spacing w:after="120" w:line="264"/>
              <w:jc w:val="both"/>
            </w:pPr>
            <w:r>
              <w:rPr>
                <w:rFonts w:ascii="Times New Roman" w:cs="Times New Roman" w:eastAsia="Times New Roman" w:hAnsi="Times New Roman"/>
                <w:sz w:val="20"/>
                <w:szCs w:val="20"/>
              </w:rPr>
              <w:t xml:space="preserve">İkincisi, uyarlama denemeleridir. whisper-small modelinin FLEURS ile üç dönemlik ince ayarı WER değerini %24,86'dan %20,21'e düşürmüş; buna karşılık çocuk sesi benzetimiyle artırılmış veriyle yapılan whisper-large-v3 LoRA uyarlaması, yetişkin değerlendirme kümesinde başarımı iyileştirmemiştir. Bu bulgu, çocuk konuşmasına uyarlamanın gerçek çocuk verisi ve tutarlı bir değerlendirme kümesi olmadan yapılamayacağını göstermekte ve projedeki alan kayması kontrol noktasının gerekçesini oluşturmaktadır.</w:t>
            </w:r>
          </w:p>
          <w:p>
            <w:pPr>
              <w:spacing w:after="120" w:line="264"/>
              <w:jc w:val="both"/>
            </w:pPr>
            <w:r>
              <w:rPr>
                <w:rFonts w:ascii="Times New Roman" w:cs="Times New Roman" w:eastAsia="Times New Roman" w:hAnsi="Times New Roman"/>
                <w:sz w:val="20"/>
                <w:szCs w:val="20"/>
              </w:rPr>
              <w:t xml:space="preserve">Üçüncüsü, sözcük hizalama, hata sınıflandırma, Türkçe kural tabanlı sesletim, akıcılık hesaplama ve geri bildirim bileşenlerinden oluşan, sunucu ortamında uçtan uca çalışan bir değerlendirme motorunun geliştirilmesidir. Motor birim testleriyle doğrulanmış ve HTML/JSON rapor üretecek düzeye getirilmiştir; birebir çözümleme yapılandırması uygulanmış ve sınanmıştır. Gerçek öğrenci verisinde kalibrasyon ve bağımsız doğrulama henüz yapılmamıştır.</w:t>
            </w:r>
          </w:p>
          <w:p>
            <w:pPr>
              <w:spacing w:after="120" w:line="264"/>
              <w:jc w:val="both"/>
            </w:pPr>
            <w:r>
              <w:rPr>
                <w:rFonts w:ascii="Times New Roman" w:cs="Times New Roman" w:eastAsia="Times New Roman" w:hAnsi="Times New Roman"/>
                <w:sz w:val="20"/>
                <w:szCs w:val="20"/>
              </w:rPr>
              <w:t xml:space="preserve">Dördüncüsü, hizalama yönteminin katkısını ölçen kontrollü ablasyon deneyidir. İlkokul düzeyi 65 cümleden türetilen 257 sözcüklük dağarcık üzerinde, hata türü ve konumu bilinen 1.032 kontrollü hata olayı üretilmiş; sözcük değiştirmelerin hedefe fonetik olarak en yakın gerçek sözcüklerden seçildiği zorlayıcı koşulda dört hizalama yöntemi üç ana sınıfta Macro-F1 açısından karşılaştırılmıştır. Her yöntem kendi en uygun eşiğinde çalıştırıldığında klasik sabit maliyetli hizalama 0,4681, yazımsal (karakter düzenleme mesafesi) temelli hizalama 0,9361, ünlü/ünsüz sınıfı temelli fonem mesafesi 0,9381, ayırt edici fonetik özellik (çıkış yeri, çıkış biçimi, ötümlülük) temelli fonem mesafesi ise 0,9479 değerini vermiştir. Klasik hizalama telaffuz sapması sınıfında F1 = 0,000 üretmekte, yani bu ayrımı yapısal olarak gerçekleştirememektedir. Ayrıca eşik taraması, karar eşiğinin mesafe modelinden daha belirleyici olduğunu göstermiştir: sınıf temelli model yalnız eşik değişimiyle 0,9381 ile 0,8108 arasında değişmektedir.</w:t>
            </w:r>
          </w:p>
          <w:p>
            <w:pPr>
              <w:spacing w:after="0" w:line="264"/>
              <w:jc w:val="both"/>
            </w:pPr>
            <w:r>
              <w:rPr>
                <w:rFonts w:ascii="Times New Roman" w:cs="Times New Roman" w:eastAsia="Times New Roman" w:hAnsi="Times New Roman"/>
                <w:sz w:val="20"/>
                <w:szCs w:val="20"/>
              </w:rPr>
              <w:t xml:space="preserve">Bu bulgular üç sonucu birlikte ortaya koymaktadır. Birincisi, sözcükleri bölünmez birim saymaktan vazgeçip alt-sözcük benzerliğine geçmek yapısal ve büyük bir kazanç sağlamaktadır. İkincisi, alt-sözcük yöntemleri arasındaki fark küçüktür; ayırt edici özellik temelli model en iyisi olmakla birlikte üstünlüğü sınırlıdır ve asıl olarak sözcük değiştirmelerin hedefe fonetik olarak yakın olduğu zorlayıcı koşulda ortaya çıkmaktadır. Üçüncüsü, karar eşikleri sezgisel olarak belirlenemez; veriden öğrenilmelidir. Deney sentetik hata olaylarıyla ve sınırlı bir sözcük dağarcığıyla yürütüldüğünden, ve telaffuz sapmaları harf düzeyinde bozularak üretildiği için yazımsal mesafeyi kayırdığından, sonuç nihai başarım kanıtı değil yöntem seçimini yönlendiren ön bulgudur. Gerçek çocuk konuşmasındaki başarım proje kapsamında uzman etiketli veriyle kalibre edilerek ve kilitli test kümesinde bağımsız olarak ölçülecektir.</w:t>
            </w:r>
          </w:p>
        </w:tc>
      </w:tr>
    </w:tbl>
    <w:p>
      <w:pPr>
        <w:pStyle w:val="Heading1"/>
        <w:spacing w:after="140" w:before="320"/>
      </w:pPr>
      <w:r>
        <w:rPr>
          <w:rFonts w:ascii="Times New Roman" w:cs="Times New Roman" w:eastAsia="Times New Roman" w:hAnsi="Times New Roman"/>
          <w:b/>
          <w:bCs/>
          <w:sz w:val="25"/>
          <w:szCs w:val="25"/>
        </w:rPr>
        <w:t xml:space="preserve">11. Teknoloji Hazırlık Seviyesi Gerekçesi</w:t>
      </w:r>
    </w:p>
    <w:p>
      <w:pPr>
        <w:spacing w:after="140" w:line="264"/>
        <w:jc w:val="both"/>
      </w:pPr>
      <w:r>
        <w:rPr>
          <w:rFonts w:ascii="Times New Roman" w:cs="Times New Roman" w:eastAsia="Times New Roman" w:hAnsi="Times New Roman"/>
          <w:b w:val="false"/>
          <w:bCs w:val="false"/>
          <w:i w:val="false"/>
          <w:iCs w:val="false"/>
          <w:sz w:val="21"/>
          <w:szCs w:val="21"/>
        </w:rPr>
        <w:t xml:space="preserve">THS 5, bileşenlerin ilgili ortamda doğrulanmış olmasını gerektirir. Elinizde uçtan uca çalışan motor vardır, ancak gerçek hedef kullanıcı verisinde doğrulama yoktur; bir hakem bunu THS 4'e çekerse THS 7 hedefi de tartışmalı hâle gelir. Gerekçe yazılmalıdır.</w:t>
      </w:r>
    </w:p>
    <w:p>
      <w:pPr>
        <w:spacing w:after="80" w:before="100"/>
      </w:pPr>
      <w:r>
        <w:rPr>
          <w:rFonts w:ascii="Times New Roman" w:cs="Times New Roman" w:eastAsia="Times New Roman" w:hAnsi="Times New Roman"/>
          <w:b/>
          <w:bCs/>
          <w:sz w:val="21"/>
          <w:szCs w:val="21"/>
        </w:rPr>
        <w:t xml:space="preserve">PRODİS konumu → </w:t>
      </w:r>
      <w:r>
        <w:rPr>
          <w:rFonts w:ascii="Times New Roman" w:cs="Times New Roman" w:eastAsia="Times New Roman" w:hAnsi="Times New Roman"/>
          <w:sz w:val="21"/>
          <w:szCs w:val="21"/>
        </w:rPr>
        <w:t xml:space="preserve">B.1 → 3. soru (“ulaşılması planlanan hedefler”), THS 5'ten THS 7'ye ulaşılacağının belirtildiği paragrafın sonuna ekleyin.</w:t>
      </w:r>
    </w:p>
    <w:tbl>
      <w:tblPr>
        <w:tblW w:type="dxa" w:w="9070"/>
        <w:tblBorders>
          <w:top w:val="single" w:color="999999" w:sz="4"/>
          <w:left w:val="single" w:color="999999" w:sz="4"/>
          <w:bottom w:val="single" w:color="999999" w:sz="4"/>
          <w:right w:val="single" w:color="999999" w:sz="4"/>
          <w:insideH w:val="none"/>
          <w:insideV w:val="none"/>
        </w:tblBorders>
      </w:tblPr>
      <w:tblGrid>
        <w:gridCol w:w="9070"/>
      </w:tblGrid>
      <w:tr>
        <w:tc>
          <w:tcPr>
            <w:tcW w:type="dxa" w:w="9070"/>
            <w:shd w:fill="F2F2F2" w:color="auto" w:val="clear"/>
            <w:tcMar>
              <w:top w:type="dxa" w:w="140"/>
              <w:left w:type="dxa" w:w="160"/>
              <w:bottom w:type="dxa" w:w="140"/>
              <w:right w:type="dxa" w:w="160"/>
            </w:tcMar>
          </w:tcPr>
          <w:p>
            <w:pPr>
              <w:spacing w:after="0" w:line="264"/>
              <w:jc w:val="both"/>
            </w:pPr>
            <w:r>
              <w:rPr>
                <w:rFonts w:ascii="Times New Roman" w:cs="Times New Roman" w:eastAsia="Times New Roman" w:hAnsi="Times New Roman"/>
                <w:sz w:val="20"/>
                <w:szCs w:val="20"/>
              </w:rPr>
              <w:t xml:space="preserve">Başlangıç seviyesinin THS 5 olarak alınması, akustik çözümleme, sözcük hizalama, Türkçe kural tabanlı sesletim, hata sınıflandırma ve akıcılık hesaplama bileşenlerinin ayrı ayrı geliştirilmiş, birim testleriyle doğrulanmış ve sunucu ortamında uçtan uca çalışan bütünleşik bir değerlendirme akışı içinde bir araya getirilmiş olmasına dayanmaktadır. Bileşenlerin ilgili ortamdaki geçerliği, açık Türkçe konuşma verisi üzerinde ölçülen çözümleme başarımı ve kontrollü hata korpusu üzerinde ölçülen hizalama başarımıyla gösterilmiştir. THS 6 ve 7 seviyeleri için gereken, gerçek hedef kullanıcı koşullarında toplanan veriyle kalibrasyon ve bağımsız doğrulama ise henüz yapılmamıştır ve bu projenin konusudur. Proje sonunda ulaşılacak THS 7 seviyesi, konuşmacı-ayrık kilitli test kümesinde önceden ilan edilmiş başarı ölçütlerine göre doğrulanmış sistemle tanımlanmaktadır.</w:t>
            </w:r>
          </w:p>
        </w:tc>
      </w:tr>
    </w:tbl>
    <w:p>
      <w:pPr>
        <w:pStyle w:val="Heading1"/>
        <w:spacing w:after="140" w:before="320"/>
      </w:pPr>
      <w:r>
        <w:rPr>
          <w:rFonts w:ascii="Times New Roman" w:cs="Times New Roman" w:eastAsia="Times New Roman" w:hAnsi="Times New Roman"/>
          <w:b/>
          <w:bCs/>
          <w:sz w:val="25"/>
          <w:szCs w:val="25"/>
        </w:rPr>
        <w:t xml:space="preserve">12. Tekrar ve Kendini Düzeltme Tespitinin Algoritmik Tanımı</w:t>
      </w:r>
    </w:p>
    <w:p>
      <w:pPr>
        <w:spacing w:after="140" w:line="264"/>
        <w:jc w:val="both"/>
      </w:pPr>
      <w:r>
        <w:rPr>
          <w:rFonts w:ascii="Times New Roman" w:cs="Times New Roman" w:eastAsia="Times New Roman" w:hAnsi="Times New Roman"/>
          <w:b w:val="false"/>
          <w:bCs w:val="false"/>
          <w:i w:val="false"/>
          <w:iCs w:val="false"/>
          <w:sz w:val="21"/>
          <w:szCs w:val="21"/>
        </w:rPr>
        <w:t xml:space="preserve">“Komşu hizalama olaylarının dizisel ve zamansal ilişkileri üzerinden belirlenecektir” ifadesi yöntem tanımı sayılmaz. Deponuzda bu davranışların kural tabanlı tespiti zaten kodlanmıştır; forma yazılması yeterlidir.</w:t>
      </w:r>
    </w:p>
    <w:p>
      <w:pPr>
        <w:spacing w:after="80" w:before="100"/>
      </w:pPr>
      <w:r>
        <w:rPr>
          <w:rFonts w:ascii="Times New Roman" w:cs="Times New Roman" w:eastAsia="Times New Roman" w:hAnsi="Times New Roman"/>
          <w:b/>
          <w:bCs/>
          <w:sz w:val="21"/>
          <w:szCs w:val="21"/>
        </w:rPr>
        <w:t xml:space="preserve">PRODİS konumu → </w:t>
      </w:r>
      <w:r>
        <w:rPr>
          <w:rFonts w:ascii="Times New Roman" w:cs="Times New Roman" w:eastAsia="Times New Roman" w:hAnsi="Times New Roman"/>
          <w:sz w:val="21"/>
          <w:szCs w:val="21"/>
        </w:rPr>
        <w:t xml:space="preserve">İP3 → 2. madde (kullanılacak yöntemler) sonuna ekleyin. Aynı metni B.1'in 2. sorusundaki ilgili paragrafa da kısaltarak koyabilirsiniz.</w:t>
      </w:r>
    </w:p>
    <w:tbl>
      <w:tblPr>
        <w:tblW w:type="dxa" w:w="9070"/>
        <w:tblBorders>
          <w:top w:val="single" w:color="999999" w:sz="4"/>
          <w:left w:val="single" w:color="999999" w:sz="4"/>
          <w:bottom w:val="single" w:color="999999" w:sz="4"/>
          <w:right w:val="single" w:color="999999" w:sz="4"/>
          <w:insideH w:val="none"/>
          <w:insideV w:val="none"/>
        </w:tblBorders>
      </w:tblPr>
      <w:tblGrid>
        <w:gridCol w:w="9070"/>
      </w:tblGrid>
      <w:tr>
        <w:tc>
          <w:tcPr>
            <w:tcW w:type="dxa" w:w="9070"/>
            <w:shd w:fill="F2F2F2" w:color="auto" w:val="clear"/>
            <w:tcMar>
              <w:top w:type="dxa" w:w="140"/>
              <w:left w:type="dxa" w:w="160"/>
              <w:bottom w:type="dxa" w:w="140"/>
              <w:right w:type="dxa" w:w="160"/>
            </w:tcMar>
          </w:tcPr>
          <w:p>
            <w:pPr>
              <w:spacing w:after="0" w:line="264"/>
              <w:jc w:val="both"/>
            </w:pPr>
            <w:r>
              <w:rPr>
                <w:rFonts w:ascii="Times New Roman" w:cs="Times New Roman" w:eastAsia="Times New Roman" w:hAnsi="Times New Roman"/>
                <w:sz w:val="20"/>
                <w:szCs w:val="20"/>
              </w:rPr>
              <w:t xml:space="preserve">Tekrar ve kendini düzeltme, hizalama sonrası bir örüntü çözümleme katmanında belirlenecektir. Tekrar, hizalamada ekleme olarak görünen bir sözcüğün, komşu konumdaki doğru okunmuş referans sözcüğüyle yüzey biçimi bakımından birebir aynı olması ve iki olay arasındaki zaman aralığının kalibrasyon verisinde belirlenen eşiğin altında kalması koşuluyla tanımlanacaktır. Kendini düzeltme iki örüntüyle yakalanacaktır: yanlış okunan bir sözcüğün hemen ardından hedef sözcüğe fonetik olarak yakın bir ekleme gelmesi; veya hedef sözcüğe yakın bir eklemenin hemen ardından aynı sözcüğün doğru okunması. Her iki durumda ilk deneme ile düzeltilmiş biçim ayrı alanlarda raporlanacak, kendini düzeltme doğrudan doğruluk cezasına dönüştürülmeyecektir. Örüntü kuralları için pencere genişliği ve zaman eşiği yalnız kalibrasyon kümesinde belirlenecek; kural tabanlı yaklaşımın yeterli olmadığı durumlarda hizalama olay dizisi üzerinde çalışan dizisel bir etiketleme modeli alternatif olarak sınanacaktır.</w:t>
            </w:r>
          </w:p>
        </w:tc>
      </w:tr>
    </w:tbl>
    <w:p>
      <w:pPr>
        <w:pStyle w:val="Heading1"/>
        <w:spacing w:after="140" w:before="320"/>
      </w:pPr>
      <w:r>
        <w:rPr>
          <w:rFonts w:ascii="Times New Roman" w:cs="Times New Roman" w:eastAsia="Times New Roman" w:hAnsi="Times New Roman"/>
          <w:b/>
          <w:bCs/>
          <w:sz w:val="25"/>
          <w:szCs w:val="25"/>
        </w:rPr>
        <w:t xml:space="preserve">13. Bileşik Akıcılık Göstergesinin Ağırlıklandırma Yönteminin Belirtilmesi</w:t>
      </w:r>
    </w:p>
    <w:p>
      <w:pPr>
        <w:spacing w:after="140" w:line="264"/>
        <w:jc w:val="both"/>
      </w:pPr>
      <w:r>
        <w:rPr>
          <w:rFonts w:ascii="Times New Roman" w:cs="Times New Roman" w:eastAsia="Times New Roman" w:hAnsi="Times New Roman"/>
          <w:b w:val="false"/>
          <w:bCs w:val="false"/>
          <w:i w:val="false"/>
          <w:iCs w:val="false"/>
          <w:sz w:val="21"/>
          <w:szCs w:val="21"/>
        </w:rPr>
        <w:t xml:space="preserve">Formda ağırlıkların kalibrasyon verisinde belirleneceği yazılıdır ama hangi yöntemle öğrenileceği, kaç parametre olduğu ve aşırı uyumun nasıl önleneceği belirtilmemiştir. 18 katılımcıyla ağırlık öğrenmek aşırı uyum riski taşır ve hakem bunu sorar.</w:t>
      </w:r>
    </w:p>
    <w:p>
      <w:pPr>
        <w:spacing w:after="80" w:before="100"/>
      </w:pPr>
      <w:r>
        <w:rPr>
          <w:rFonts w:ascii="Times New Roman" w:cs="Times New Roman" w:eastAsia="Times New Roman" w:hAnsi="Times New Roman"/>
          <w:b/>
          <w:bCs/>
          <w:sz w:val="21"/>
          <w:szCs w:val="21"/>
        </w:rPr>
        <w:t xml:space="preserve">PRODİS konumu → </w:t>
      </w:r>
      <w:r>
        <w:rPr>
          <w:rFonts w:ascii="Times New Roman" w:cs="Times New Roman" w:eastAsia="Times New Roman" w:hAnsi="Times New Roman"/>
          <w:sz w:val="21"/>
          <w:szCs w:val="21"/>
        </w:rPr>
        <w:t xml:space="preserve">İP4 → 2. madde, “Bileşik akıcılık göstergesinde mevcut sezgisel formül baz çizgi olarak korunacak” cümlesinin yerine.</w:t>
      </w:r>
    </w:p>
    <w:tbl>
      <w:tblPr>
        <w:tblW w:type="dxa" w:w="9070"/>
        <w:tblBorders>
          <w:top w:val="single" w:color="999999" w:sz="4"/>
          <w:left w:val="single" w:color="999999" w:sz="4"/>
          <w:bottom w:val="single" w:color="999999" w:sz="4"/>
          <w:right w:val="single" w:color="999999" w:sz="4"/>
          <w:insideH w:val="none"/>
          <w:insideV w:val="none"/>
        </w:tblBorders>
      </w:tblPr>
      <w:tblGrid>
        <w:gridCol w:w="9070"/>
      </w:tblGrid>
      <w:tr>
        <w:tc>
          <w:tcPr>
            <w:tcW w:type="dxa" w:w="9070"/>
            <w:shd w:fill="F2F2F2" w:color="auto" w:val="clear"/>
            <w:tcMar>
              <w:top w:type="dxa" w:w="140"/>
              <w:left w:type="dxa" w:w="160"/>
              <w:bottom w:type="dxa" w:w="140"/>
              <w:right w:type="dxa" w:w="160"/>
            </w:tcMar>
          </w:tcPr>
          <w:p>
            <w:pPr>
              <w:spacing w:after="0" w:line="264"/>
              <w:jc w:val="both"/>
            </w:pPr>
            <w:r>
              <w:rPr>
                <w:rFonts w:ascii="Times New Roman" w:cs="Times New Roman" w:eastAsia="Times New Roman" w:hAnsi="Times New Roman"/>
                <w:sz w:val="20"/>
                <w:szCs w:val="20"/>
              </w:rPr>
              <w:t xml:space="preserve">Bileşik akıcılık göstergesi, mevcut sezgisel formül baz çizgi olarak korunmak üzere, uzman akıcılık puanını hedef alan düzenlileştirilmiş doğrusal bir modelle öğrenilecektir. Yordayıcılar; okuma doğruluğu, dakikada doğru okunan sözcük sayısı, ham okuma hızı, hata türü dağılımı, anlamlı duraklama oranı, öbek sınırı uyumu ve hece sayısına normalize tempo değişkenliğidir. Serbest parametre sayısı, 18 katılımcılık kalibrasyon kümesinde aşırı uyumu önlemek amacıyla yediyi aşmayacak; model seçimi ve düzenlileştirme katsayısı katılımcı-dışarıda-bırakmalı çapraz doğrulamayla belirlenecektir. Kalibrasyon öncesi sezgisel formül ile kalibrasyon sonrası model, uzman puanıyla korelasyon açısından karşılaştırılacak ve kazanç raporlanacaktır. Ağırlıklar kilitli test kümesi açılmadan önce sabitlenecek ve test sonrasında değiştirilmeyecektir.</w:t>
            </w:r>
          </w:p>
        </w:tc>
      </w:tr>
    </w:tbl>
    <w:p>
      <w:pPr>
        <w:pStyle w:val="Heading1"/>
        <w:spacing w:after="140" w:before="320"/>
      </w:pPr>
      <w:r>
        <w:rPr>
          <w:rFonts w:ascii="Times New Roman" w:cs="Times New Roman" w:eastAsia="Times New Roman" w:hAnsi="Times New Roman"/>
          <w:b/>
          <w:bCs/>
          <w:sz w:val="25"/>
          <w:szCs w:val="25"/>
        </w:rPr>
        <w:t xml:space="preserve">14. Hedef Yayının Belirtilmesi</w:t>
      </w:r>
    </w:p>
    <w:p>
      <w:pPr>
        <w:spacing w:after="140" w:line="264"/>
        <w:jc w:val="both"/>
      </w:pPr>
      <w:r>
        <w:rPr>
          <w:rFonts w:ascii="Times New Roman" w:cs="Times New Roman" w:eastAsia="Times New Roman" w:hAnsi="Times New Roman"/>
          <w:b w:val="false"/>
          <w:bCs w:val="false"/>
          <w:i w:val="false"/>
          <w:iCs w:val="false"/>
          <w:sz w:val="21"/>
          <w:szCs w:val="21"/>
        </w:rPr>
        <w:t xml:space="preserve">İP1.4'te hakemli yayın hazırlığı vardır ancak hedef belirtilmemiştir. Bilimsel katkı boyutunda düşük maliyetli bir kazanımdır.</w:t>
      </w:r>
    </w:p>
    <w:p>
      <w:pPr>
        <w:spacing w:after="80" w:before="100"/>
      </w:pPr>
      <w:r>
        <w:rPr>
          <w:rFonts w:ascii="Times New Roman" w:cs="Times New Roman" w:eastAsia="Times New Roman" w:hAnsi="Times New Roman"/>
          <w:b/>
          <w:bCs/>
          <w:sz w:val="21"/>
          <w:szCs w:val="21"/>
        </w:rPr>
        <w:t xml:space="preserve">PRODİS konumu → </w:t>
      </w:r>
      <w:r>
        <w:rPr>
          <w:rFonts w:ascii="Times New Roman" w:cs="Times New Roman" w:eastAsia="Times New Roman" w:hAnsi="Times New Roman"/>
          <w:sz w:val="21"/>
          <w:szCs w:val="21"/>
        </w:rPr>
        <w:t xml:space="preserve">İP1 → 1. madde, F1.4 faaliyet tanımının sonuna ekleyin.</w:t>
      </w:r>
    </w:p>
    <w:tbl>
      <w:tblPr>
        <w:tblW w:type="dxa" w:w="9070"/>
        <w:tblBorders>
          <w:top w:val="single" w:color="999999" w:sz="4"/>
          <w:left w:val="single" w:color="999999" w:sz="4"/>
          <w:bottom w:val="single" w:color="999999" w:sz="4"/>
          <w:right w:val="single" w:color="999999" w:sz="4"/>
          <w:insideH w:val="none"/>
          <w:insideV w:val="none"/>
        </w:tblBorders>
      </w:tblPr>
      <w:tblGrid>
        <w:gridCol w:w="9070"/>
      </w:tblGrid>
      <w:tr>
        <w:tc>
          <w:tcPr>
            <w:tcW w:type="dxa" w:w="9070"/>
            <w:shd w:fill="F2F2F2" w:color="auto" w:val="clear"/>
            <w:tcMar>
              <w:top w:type="dxa" w:w="140"/>
              <w:left w:type="dxa" w:w="160"/>
              <w:bottom w:type="dxa" w:w="140"/>
              <w:right w:type="dxa" w:w="160"/>
            </w:tcMar>
          </w:tcPr>
          <w:p>
            <w:pPr>
              <w:spacing w:after="0" w:line="264"/>
              <w:jc w:val="both"/>
            </w:pPr>
            <w:r>
              <w:rPr>
                <w:rFonts w:ascii="Times New Roman" w:cs="Times New Roman" w:eastAsia="Times New Roman" w:hAnsi="Times New Roman"/>
                <w:sz w:val="20"/>
                <w:szCs w:val="20"/>
              </w:rPr>
              <w:t xml:space="preserve">Yayın hedefi, konuşma teknolojileri ve eğitim teknolojileri alanlarında hakemli bir konferans veya dergidir; Interspeech, ICASSP ve Speech Communication ile eğitimde ölçme-değerlendirme alanındaki ulusal hakemli dergiler öncelikli olarak değerlendirilecektir. Yayına konu edilecek içerik, uzman etiketleme protokolü, Fonem Sınıfı Duyarlı Hizalama yöntemi ve kilitli test kümesindeki doğrulama sonuçlarıdır. Kişisel veri içeren ham ses kayıtları paylaşılmayacak; yalnız yöntem, protokol ve toplulaştırılmış sonuçlar yayımlanacaktır.</w:t>
            </w:r>
          </w:p>
        </w:tc>
      </w:tr>
    </w:tbl>
    <w:p>
      <w:pPr>
        <w:pStyle w:val="Heading1"/>
        <w:spacing w:after="140" w:before="320"/>
      </w:pPr>
      <w:r>
        <w:rPr>
          <w:rFonts w:ascii="Times New Roman" w:cs="Times New Roman" w:eastAsia="Times New Roman" w:hAnsi="Times New Roman"/>
          <w:b/>
          <w:bCs/>
          <w:sz w:val="25"/>
          <w:szCs w:val="25"/>
        </w:rPr>
        <w:t xml:space="preserve">15. Gerçek Çocuk Kaydıyla Ön Deneme (Gönderime Kadar Zaman Varsa)</w:t>
      </w:r>
    </w:p>
    <w:p>
      <w:pPr>
        <w:spacing w:after="140" w:line="264"/>
        <w:jc w:val="both"/>
      </w:pPr>
      <w:r>
        <w:rPr>
          <w:rFonts w:ascii="Times New Roman" w:cs="Times New Roman" w:eastAsia="Times New Roman" w:hAnsi="Times New Roman"/>
          <w:b w:val="false"/>
          <w:bCs w:val="false"/>
          <w:i w:val="false"/>
          <w:iCs w:val="false"/>
          <w:sz w:val="21"/>
          <w:szCs w:val="21"/>
        </w:rPr>
        <w:t xml:space="preserve">Mevcut kanıtların tamamı sentetik veya yetişkin verisine dayanmaktadır ve bu formda dürüstçe belirtilmiştir. Ancak hakem açısından ana hipotez henüz gerçek çocuk sesiyle hiç sınanmamış görünmektedir. Etik onay kapsamında ya da veli izniyle alınacak beş on kayıtlık bir ön deneme, bu itirazı tümüyle ortadan kaldırır ve gönderim öncesi yapılabilecek en yüksek etkili tek çalışmadır.</w:t>
      </w:r>
    </w:p>
    <w:p>
      <w:pPr>
        <w:spacing w:after="80" w:before="100"/>
      </w:pPr>
      <w:r>
        <w:rPr>
          <w:rFonts w:ascii="Times New Roman" w:cs="Times New Roman" w:eastAsia="Times New Roman" w:hAnsi="Times New Roman"/>
          <w:b/>
          <w:bCs/>
          <w:sz w:val="21"/>
          <w:szCs w:val="21"/>
        </w:rPr>
        <w:t xml:space="preserve">PRODİS konumu → </w:t>
      </w:r>
      <w:r>
        <w:rPr>
          <w:rFonts w:ascii="Times New Roman" w:cs="Times New Roman" w:eastAsia="Times New Roman" w:hAnsi="Times New Roman"/>
          <w:sz w:val="21"/>
          <w:szCs w:val="21"/>
        </w:rPr>
        <w:t xml:space="preserve">B.3 → “Teknik ön fizibilite” alanına beşinci bulgu olarak eklenir.</w:t>
      </w:r>
    </w:p>
    <w:tbl>
      <w:tblPr>
        <w:tblW w:type="dxa" w:w="9070"/>
        <w:tblBorders>
          <w:top w:val="single" w:color="999999" w:sz="4"/>
          <w:left w:val="single" w:color="999999" w:sz="4"/>
          <w:bottom w:val="single" w:color="999999" w:sz="4"/>
          <w:right w:val="single" w:color="999999" w:sz="4"/>
          <w:insideH w:val="none"/>
          <w:insideV w:val="none"/>
        </w:tblBorders>
      </w:tblPr>
      <w:tblGrid>
        <w:gridCol w:w="9070"/>
      </w:tblGrid>
      <w:tr>
        <w:tc>
          <w:tcPr>
            <w:tcW w:type="dxa" w:w="9070"/>
            <w:shd w:fill="F2F2F2" w:color="auto" w:val="clear"/>
            <w:tcMar>
              <w:top w:type="dxa" w:w="140"/>
              <w:left w:type="dxa" w:w="160"/>
              <w:bottom w:type="dxa" w:w="140"/>
              <w:right w:type="dxa" w:w="160"/>
            </w:tcMar>
          </w:tcPr>
          <w:p>
            <w:pPr>
              <w:spacing w:after="0" w:line="264"/>
              <w:jc w:val="both"/>
            </w:pPr>
            <w:r>
              <w:rPr>
                <w:rFonts w:ascii="Times New Roman" w:cs="Times New Roman" w:eastAsia="Times New Roman" w:hAnsi="Times New Roman"/>
                <w:sz w:val="20"/>
                <w:szCs w:val="20"/>
              </w:rPr>
              <w:t xml:space="preserve">Beşinci olarak, veli aydınlatılmış açık rızasıyla alınan [N] adet gerçek ilkokul düzeyi sesli okuma kaydı üzerinde ön deneme yapılmıştır. Kayıtlarda uzman tarafından işaretlenen [E] hata olayının [X]'i sistem çıktısında korunmuş; hata türü ayrıştırmasında ön Macro-F1 [F] değeri gözlenmiştir. Örneklem büyüklüğü istatistiksel bir başarım iddiası için yeterli değildir; bu deneme, yöntemin gerçek çocuk konuşmasında çalışabilirliğini gösteren niteliksel bir doğrulama olarak sunulmaktadır.</w:t>
            </w:r>
          </w:p>
        </w:tc>
      </w:tr>
    </w:tbl>
    <w:p>
      <w:pPr>
        <w:pStyle w:val="Heading1"/>
        <w:spacing w:after="140" w:before="320"/>
      </w:pPr>
      <w:r>
        <w:rPr>
          <w:rFonts w:ascii="Times New Roman" w:cs="Times New Roman" w:eastAsia="Times New Roman" w:hAnsi="Times New Roman"/>
          <w:b/>
          <w:bCs/>
          <w:sz w:val="25"/>
          <w:szCs w:val="25"/>
        </w:rPr>
        <w:t xml:space="preserve">Uygulama Sırası</w:t>
      </w:r>
    </w:p>
    <w:p>
      <w:pPr>
        <w:spacing w:after="140" w:line="264"/>
        <w:jc w:val="both"/>
      </w:pPr>
      <w:r>
        <w:rPr>
          <w:rFonts w:ascii="Times New Roman" w:cs="Times New Roman" w:eastAsia="Times New Roman" w:hAnsi="Times New Roman"/>
          <w:b w:val="false"/>
          <w:bCs w:val="false"/>
          <w:i w:val="false"/>
          <w:iCs w:val="false"/>
          <w:sz w:val="21"/>
          <w:szCs w:val="21"/>
        </w:rPr>
        <w:t xml:space="preserve">Gönderim öncesi zorunlu: 1, 2, 3, 4, 5, 10. Bu altı madde tümüyle metin düzenlemesidir, yeni çalışma gerektirmez ve doğrudan “Ar-Ge içeriği, teknoloji düzeyi, yenilikçi yön” boyutunda puanlanan alanları düzeltir.</w:t>
      </w:r>
    </w:p>
    <w:p>
      <w:pPr>
        <w:spacing w:after="140" w:line="264"/>
        <w:jc w:val="both"/>
      </w:pPr>
      <w:r>
        <w:rPr>
          <w:rFonts w:ascii="Times New Roman" w:cs="Times New Roman" w:eastAsia="Times New Roman" w:hAnsi="Times New Roman"/>
          <w:b w:val="false"/>
          <w:bCs w:val="false"/>
          <w:i w:val="false"/>
          <w:iCs w:val="false"/>
          <w:sz w:val="21"/>
          <w:szCs w:val="21"/>
        </w:rPr>
        <w:t xml:space="preserve">Gönderim öncesi güçlü tavsiye: 6, 7, 8, 9. Bunlardan 6. madde bir günlük bir metin analizi, 8. madde ise mevcut hesabınızın yazıya dökülmesidir.</w:t>
      </w:r>
    </w:p>
    <w:p>
      <w:pPr>
        <w:spacing w:after="140" w:line="264"/>
        <w:jc w:val="both"/>
      </w:pPr>
      <w:r>
        <w:rPr>
          <w:rFonts w:ascii="Times New Roman" w:cs="Times New Roman" w:eastAsia="Times New Roman" w:hAnsi="Times New Roman"/>
          <w:b w:val="false"/>
          <w:bCs w:val="false"/>
          <w:i w:val="false"/>
          <w:iCs w:val="false"/>
          <w:sz w:val="21"/>
          <w:szCs w:val="21"/>
        </w:rPr>
        <w:t xml:space="preserve">Zaman kalırsa: 11, 12, 13, 14 ve mümkünse 15.</w:t>
      </w:r>
    </w:p>
    <w:p>
      <w:pPr>
        <w:spacing w:after="140" w:line="264"/>
        <w:jc w:val="both"/>
      </w:pPr>
      <w:r>
        <w:rPr>
          <w:rFonts w:ascii="Times New Roman" w:cs="Times New Roman" w:eastAsia="Times New Roman" w:hAnsi="Times New Roman"/>
          <w:b w:val="false"/>
          <w:bCs w:val="false"/>
          <w:i w:val="false"/>
          <w:iCs w:val="false"/>
          <w:sz w:val="21"/>
          <w:szCs w:val="21"/>
        </w:rPr>
        <w:t xml:space="preserve">Bu rehberdeki ablasyon deneyi depoya ablation/ klasörü olarak eklenmiştir (run_ablation.py, README.md, results/ablation_results.json); rastgele tohum sabittir ve yeniden çalıştırılabilir durumdadır. Deneyin sonucu okumetrik/phonetics.py içine de uygulanmıştır. Ziyaretli değerlendirmede bu deneyin canlı çalıştırılabilmesi, formdaki sayıların doğrulanabilirliği açısından belirleyici olacaktır.</w:t>
      </w:r>
    </w:p>
    <w:sectPr>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2026-08-29T12:33:45.928Z</dcterms:created>
  <dcterms:modified xsi:type="dcterms:W3CDTF">2026-08-29T12:33:45.945Z</dcterms:modified>
</cp:coreProperties>
</file>

<file path=docProps/custom.xml><?xml version="1.0" encoding="utf-8"?>
<Properties xmlns="http://schemas.openxmlformats.org/officeDocument/2006/custom-properties" xmlns:vt="http://schemas.openxmlformats.org/officeDocument/2006/docPropsVTypes"/>
</file>