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Kurumsal AI Proje Önerileri </w:t>
      </w:r>
      <w:r>
        <w:rPr/>
        <w:t>via Microsoft Foundry</w:t>
      </w:r>
    </w:p>
    <w:p>
      <w:pPr>
        <w:pStyle w:val="Subtitle"/>
        <w:rPr/>
      </w:pPr>
      <w:r>
        <w:rPr/>
        <w:t xml:space="preserve">Ön değerlendirme dokümanı </w:t>
      </w:r>
    </w:p>
    <w:p>
      <w:pPr>
        <w:pStyle w:val="Heading1"/>
        <w:rPr/>
      </w:pPr>
      <w:r>
        <w:rPr/>
        <w:t>01  Data Quality &amp; Anomaly Investigation Agent</w:t>
      </w:r>
    </w:p>
    <w:p>
      <w:pPr>
        <w:pStyle w:val="Subtitle"/>
        <w:rPr/>
      </w:pPr>
      <w:r>
        <w:rPr/>
        <w:t>Kurumsal verilerde anomali tespiti ve kök neden araştırmasına destek</w:t>
      </w:r>
    </w:p>
    <w:p>
      <w:pPr>
        <w:pStyle w:val="Normal"/>
        <w:rPr/>
      </w:pPr>
      <w:r>
        <w:rPr>
          <w:b/>
          <w:color w:val="14436C"/>
        </w:rPr>
        <w:t xml:space="preserve">Problem ve amaç  </w:t>
      </w:r>
      <w:r>
        <w:rPr/>
        <w:t>Veri ekipleri eksik kayıt, tutarsız metrik, beklenmedik hacim değişimi veya aykırı işlem gibi sorunları tespit etse bile bunların nedenlerini araştırmak için farklı tablo, log ve karşılaştırmaları manuel inceler. Önerilen agent, mevcut kalite kontrolleri ve anomali algoritmalarının sonuçlarını yorumlayıp kanıta dayalı araştırma önerileri sunar.</w:t>
      </w:r>
    </w:p>
    <w:p>
      <w:pPr>
        <w:pStyle w:val="Normal"/>
        <w:rPr/>
      </w:pPr>
      <w:r>
        <w:rPr>
          <w:b/>
          <w:color w:val="14436C"/>
        </w:rPr>
        <w:t xml:space="preserve">Örnek senaryo  </w:t>
      </w:r>
      <w:r>
        <w:rPr/>
        <w:t>Bir mağazanın günlük satış işlem sayısı önceki haftaya göre %45 azalır. Anomali tespit bileşeni durumu işaretler. Agent geçmiş günleri, benzer mağazaları, eksik veri oranını ve veri yükleme durumunu salt okunur araçlarla sorgular. Gerçek satış düşüşü ile eksik aktarım olasılıklarını ayırır; doğrulanmayan açıklamaları kesin neden olarak sunmaz.</w:t>
      </w:r>
    </w:p>
    <w:p>
      <w:pPr>
        <w:pStyle w:val="Normal"/>
        <w:rPr/>
      </w:pPr>
      <w:r>
        <w:rPr>
          <w:b/>
          <w:color w:val="14436C"/>
        </w:rPr>
        <w:t xml:space="preserve">Teknik yaklaşım ve Foundry rolü  </w:t>
      </w:r>
      <w:r>
        <w:rPr/>
        <w:t>Microsoft Fabric, Databricks veya SQL kaynaklarından veriler alınır. SQL veri kalitesi kuralları, istatistiksel kontroller ve gerektiğinde Isolation Forest gibi ML yöntemleri anomalileri tespit eder. Microsoft Foundry üzerinde yapılandırılan LLM tabanlı agent, tool calling yoluyla ilgili metrikleri sorgular, bulguları özetler ve analist raporu üretir. Foundry; model/agent yönetimi, değerlendirme ve izlenebilirlik için kullanılır.</w:t>
      </w:r>
    </w:p>
    <w:p>
      <w:pPr>
        <w:pStyle w:val="Normal"/>
        <w:rPr/>
      </w:pPr>
      <w:r>
        <w:rPr>
          <w:b/>
          <w:color w:val="14436C"/>
        </w:rPr>
        <w:t xml:space="preserve">İlk sürüm (MVP)  </w:t>
      </w:r>
      <w:r>
        <w:rPr/>
        <w:t>Sentetik satış/şube verisi; üç kalite kontrolü (eksik kayıt, tekrar, hacim sapması); tek anomali yöntemi; agent tarafından üretilen açıklama ve kontrol listesi. Otomatik veri düzeltme kapsam dışıdır.</w:t>
      </w:r>
    </w:p>
    <w:p>
      <w:pPr>
        <w:pStyle w:val="Normal"/>
        <w:rPr/>
      </w:pPr>
      <w:r>
        <w:rPr>
          <w:b/>
          <w:color w:val="14436C"/>
        </w:rPr>
        <w:t xml:space="preserve">Fayda ve riskler  </w:t>
      </w:r>
      <w:r>
        <w:rPr/>
        <w:t>Beklenen değer: araştırma süresinin azalması ve standart inceleme raporları. Riskler: yanlış nedensellik çıkarımı, hassas veri erişimi ve yanıltıcı öneriler. Önlem: yetkili salt okunur sorgular, kaynak gösterme ve analist onayı.</w:t>
      </w:r>
    </w:p>
    <w:p>
      <w:pPr>
        <w:pStyle w:val="Heading1"/>
        <w:rPr/>
      </w:pPr>
      <w:r>
        <w:rPr/>
        <w:t>02  Enterprise Knowledge Agent</w:t>
      </w:r>
    </w:p>
    <w:p>
      <w:pPr>
        <w:pStyle w:val="Subtitle"/>
        <w:rPr/>
      </w:pPr>
      <w:r>
        <w:rPr/>
        <w:t>Şirket içi dokümanlardan kaynaklı soru-cevap</w:t>
      </w:r>
    </w:p>
    <w:p>
      <w:pPr>
        <w:pStyle w:val="Normal"/>
        <w:rPr/>
      </w:pPr>
      <w:r>
        <w:rPr>
          <w:b/>
          <w:color w:val="14436C"/>
        </w:rPr>
        <w:t xml:space="preserve">Problem ve amaç  </w:t>
      </w:r>
      <w:r>
        <w:rPr/>
        <w:t>Çalışanlar izin politikaları, BT yönergeleri ve operasyon prosedürleri için çok sayıda doküman ve klasör arasında arama yapar. Bu proje, yetki sınırları içinde şirket içi bilgilere doğal dille erişim sağlayan bir asistan önerir.</w:t>
      </w:r>
    </w:p>
    <w:p>
      <w:pPr>
        <w:pStyle w:val="Normal"/>
        <w:rPr/>
      </w:pPr>
      <w:r>
        <w:rPr>
          <w:b/>
          <w:color w:val="14436C"/>
        </w:rPr>
        <w:t xml:space="preserve">Örnek senaryo  </w:t>
      </w:r>
      <w:r>
        <w:rPr/>
        <w:t>Çalışan “Uzaktan çalışma için hangi onayları almalıyım?” diye sorar. Agent ilgili ve güncel prosedürü arar, adımları belge referanslarıyla açıklar. Kaynak yetersizse cevap uydurmak yerine ilgili birime yönlendirir.</w:t>
      </w:r>
    </w:p>
    <w:p>
      <w:pPr>
        <w:pStyle w:val="Normal"/>
        <w:rPr/>
      </w:pPr>
      <w:r>
        <w:rPr>
          <w:b/>
          <w:color w:val="14436C"/>
        </w:rPr>
        <w:t xml:space="preserve">Teknik yaklaşım ve Foundry rolü  </w:t>
      </w:r>
      <w:r>
        <w:rPr/>
        <w:t>PDF/Word prosedürleri işlenerek parçalara ayrılır ve Azure AI Search benzeri bir arama katmanında indekslenir. RAG, soruyla ilgili parçaları bulup LLM’e bağlam sağlar. Foundry Agent Service/model erişimi ve değerlendirme özellikleri kullanılır. Microsoft Entra ID ile kimlik ve belge seviyesinde erişim kontrolleri tasarlanır.</w:t>
      </w:r>
    </w:p>
    <w:p>
      <w:pPr>
        <w:pStyle w:val="Normal"/>
        <w:rPr/>
      </w:pPr>
      <w:r>
        <w:rPr>
          <w:b/>
          <w:color w:val="14436C"/>
        </w:rPr>
        <w:t xml:space="preserve">İlk sürüm (MVP)  </w:t>
      </w:r>
      <w:r>
        <w:rPr/>
        <w:t>15–20 örnek prosedür dokümanı; basit sohbet arayüzü; kaynaklı yanıt; bilgi bulunamadı senaryosu; sınırlı kullanıcı rolü testi. İzin bakiyesi veya ticket oluşturma gibi entegrasyonlar ikinci faza bırakılır.</w:t>
      </w:r>
    </w:p>
    <w:p>
      <w:pPr>
        <w:pStyle w:val="Normal"/>
        <w:rPr/>
      </w:pPr>
      <w:r>
        <w:rPr>
          <w:b/>
          <w:color w:val="14436C"/>
        </w:rPr>
        <w:t xml:space="preserve">Fayda ve riskler  </w:t>
      </w:r>
      <w:r>
        <w:rPr/>
        <w:t>Beklenen değer: bilgiye daha hızlı erişim ve tekrarlanan iç destek sorularının azalması. Riskler: eski dokümanlar, yetkisiz içerik gösterimi ve yanlış prosedür aktarımı. Önlem: belge sürüm takibi, erişim filtreleri ve kaynak doğrulama.</w:t>
      </w:r>
    </w:p>
    <w:p>
      <w:pPr>
        <w:pStyle w:val="Heading1"/>
        <w:rPr/>
      </w:pPr>
      <w:r>
        <w:rPr/>
        <w:t>03  Customer-Facing Company Information Assistant</w:t>
      </w:r>
    </w:p>
    <w:p>
      <w:pPr>
        <w:pStyle w:val="Subtitle"/>
        <w:rPr/>
      </w:pPr>
      <w:r>
        <w:rPr/>
        <w:t>Kurumsal web sitesinde müşterilere hizmet ve şirket bilgisi sunma</w:t>
      </w:r>
    </w:p>
    <w:p>
      <w:pPr>
        <w:pStyle w:val="Normal"/>
        <w:rPr/>
      </w:pPr>
      <w:r>
        <w:rPr>
          <w:b/>
          <w:color w:val="14436C"/>
        </w:rPr>
        <w:t xml:space="preserve">Problem ve amaç  </w:t>
      </w:r>
      <w:r>
        <w:rPr/>
        <w:t>Potansiyel müşteriler şirketin sunduğu hizmetleri, sektörleri ve iletişim seçeneklerini öğrenmek için birçok sayfada gezinir. Web sitesine entegre edilecek asistan, yalnızca onaylı kamuya açık kaynaklardan hızlı yanıt üretir.</w:t>
      </w:r>
    </w:p>
    <w:p>
      <w:pPr>
        <w:pStyle w:val="Normal"/>
        <w:rPr/>
      </w:pPr>
      <w:r>
        <w:rPr>
          <w:b/>
          <w:color w:val="14436C"/>
        </w:rPr>
        <w:t xml:space="preserve">Örnek senaryo  </w:t>
      </w:r>
      <w:r>
        <w:rPr/>
        <w:t>Ziyaretçi “Veri analitiği alanında hangi çözümleri sunuyorsunuz?” diye sorar. Asistan güncel hizmet sayfalarını kullanarak kısa yanıt verir, ilgili bağlantıları gösterir ve isterse iletişim formuna yönlendirir.</w:t>
      </w:r>
    </w:p>
    <w:p>
      <w:pPr>
        <w:pStyle w:val="Normal"/>
        <w:rPr/>
      </w:pPr>
      <w:r>
        <w:rPr>
          <w:b/>
          <w:color w:val="14436C"/>
        </w:rPr>
        <w:t xml:space="preserve">Teknik yaklaşım ve Foundry rolü  </w:t>
      </w:r>
      <w:r>
        <w:rPr/>
        <w:t>Hizmet sayfaları, SSS ve kurumsal içerikler arama indeksine alınır. Foundry ile yönetilen model/agent, RAG aracılığıyla kaynaklı cevap üretir. React sohbet bileşeni kurumsal web sitesine eklenebilir. CRM’ye müşteri adayı aktarımı, açık rıza ve uygun güvenlik kontrolleriyle sonraki fazda düşünülebilir.</w:t>
      </w:r>
    </w:p>
    <w:p>
      <w:pPr>
        <w:pStyle w:val="Normal"/>
        <w:rPr/>
      </w:pPr>
      <w:r>
        <w:rPr>
          <w:b/>
          <w:color w:val="14436C"/>
        </w:rPr>
        <w:t xml:space="preserve">İlk sürüm (MVP)  </w:t>
      </w:r>
      <w:r>
        <w:rPr/>
        <w:t>Örnek web sitesi içerikleri; 20–30 sık sorulan soru; sohbet arayüzü; hizmet sayfalarına bağlantı; kapsam dışı soruları reddetme. Ticari teklif üretme ve fiyat taahhüdü yoktur.</w:t>
      </w:r>
    </w:p>
    <w:p>
      <w:pPr>
        <w:pStyle w:val="Normal"/>
        <w:rPr/>
      </w:pPr>
      <w:r>
        <w:rPr>
          <w:b/>
          <w:color w:val="14436C"/>
        </w:rPr>
        <w:t xml:space="preserve">Fayda ve riskler  </w:t>
      </w:r>
      <w:r>
        <w:rPr/>
        <w:t>Beklenen değer: ziyaretçinin bilgiye erişimi ve uygun hizmete yönlendirilmesi. Riskler: eski içerik, olmayan hizmeti vaat etme ve hatalı fiyat bilgisi. Önlem: yalnızca onaylı kaynaklar, güncelleme takvimi ve satışa yönlendirme.</w:t>
      </w:r>
    </w:p>
    <w:p>
      <w:pPr>
        <w:pStyle w:val="Heading1"/>
        <w:rPr/>
      </w:pPr>
      <w:r>
        <w:rPr/>
        <w:t>04  Meeting &amp; Action Tracking Agent</w:t>
      </w:r>
    </w:p>
    <w:p>
      <w:pPr>
        <w:pStyle w:val="Subtitle"/>
        <w:rPr/>
      </w:pPr>
      <w:r>
        <w:rPr/>
        <w:t>Toplantı kararları ve görevlerin yapılandırılmış takibi</w:t>
      </w:r>
    </w:p>
    <w:p>
      <w:pPr>
        <w:pStyle w:val="Normal"/>
        <w:rPr/>
      </w:pPr>
      <w:r>
        <w:rPr>
          <w:b/>
          <w:color w:val="14436C"/>
        </w:rPr>
        <w:t xml:space="preserve">Problem ve amaç  </w:t>
      </w:r>
      <w:r>
        <w:rPr/>
        <w:t>Toplantılarda alınan kararlar, sorumlular ve teslim tarihleri manuel notlara dağılabilir. Agent, toplantı notlarını veya izinli konuşma dökümlerini analiz ederek özet ve aksiyon listesi üretir.</w:t>
      </w:r>
    </w:p>
    <w:p>
      <w:pPr>
        <w:pStyle w:val="Normal"/>
        <w:rPr/>
      </w:pPr>
      <w:r>
        <w:rPr>
          <w:b/>
          <w:color w:val="14436C"/>
        </w:rPr>
        <w:t xml:space="preserve">Örnek senaryo  </w:t>
      </w:r>
      <w:r>
        <w:rPr/>
        <w:t>Toplantıda “Müşteri raporunu Ayşe cuma gününe kadar hazırlasın; Mehmet perşembeye kadar veri aktarım hatasını incelesin” denir. Agent iki görevi, sorumluları ve son tarihleri çıkarır. Belirsiz tarihleri toplantı tarihine göre yorumlar; emin olmadığı atamaları doğrulamaya sunar.</w:t>
      </w:r>
    </w:p>
    <w:p>
      <w:pPr>
        <w:pStyle w:val="Normal"/>
        <w:rPr/>
      </w:pPr>
      <w:r>
        <w:rPr>
          <w:b/>
          <w:color w:val="14436C"/>
        </w:rPr>
        <w:t xml:space="preserve">Teknik yaklaşım ve Foundry rolü  </w:t>
      </w:r>
      <w:r>
        <w:rPr/>
        <w:t>İlk aşamada metin veya toplantı dökümü yüklenir. Foundry üzerinden kullanılan LLM, yapılandırılmış JSON çıktısı olarak özet, karar, görev, sorumlu ve son tarih üretir. İkinci fazda uygun izinlerle Microsoft Graph üzerinden Teams dökümleri okunabilir; kullanıcı onayı sonrası Planner gibi görev sistemlerine kayıt açılabilir.</w:t>
      </w:r>
    </w:p>
    <w:p>
      <w:pPr>
        <w:pStyle w:val="Normal"/>
        <w:rPr/>
      </w:pPr>
      <w:r>
        <w:rPr>
          <w:b/>
          <w:color w:val="14436C"/>
        </w:rPr>
        <w:t xml:space="preserve">İlk sürüm (MVP)  </w:t>
      </w:r>
      <w:r>
        <w:rPr/>
        <w:t>Manuel toplantı notu yükleme; özet; karar ve görev çıkarımı; kullanıcı doğrulama ekranı; CSV/JSON dışa aktarma. Otomatik Teams erişimi ve görev açma ikinci fazdır.</w:t>
      </w:r>
    </w:p>
    <w:p>
      <w:pPr>
        <w:pStyle w:val="Normal"/>
        <w:rPr/>
      </w:pPr>
      <w:r>
        <w:rPr>
          <w:b/>
          <w:color w:val="14436C"/>
        </w:rPr>
        <w:t xml:space="preserve">Fayda ve riskler  </w:t>
      </w:r>
      <w:r>
        <w:rPr/>
        <w:t>Beklenen değer: toplantı sonrası manuel işin ve unutulan aksiyonların azaltılması. Riskler: konuşmacı eşleştirme hatası, yanlış tarih, gizli toplantı içeriği. Önlem: açık izin, insan onayı ve hassas veri saklama politikası.</w:t>
      </w:r>
    </w:p>
    <w:p>
      <w:pPr>
        <w:pStyle w:val="Heading1"/>
        <w:rPr/>
      </w:pPr>
      <w:r>
        <w:rPr/>
        <w:t>05  AI-Powered Data Pipeline Monitoring &amp; Incident Assistant</w:t>
      </w:r>
    </w:p>
    <w:p>
      <w:pPr>
        <w:pStyle w:val="Subtitle"/>
        <w:rPr/>
      </w:pPr>
      <w:r>
        <w:rPr/>
        <w:t>ETL/ELT süreçlerinde hata inceleme ve çözüm önerileri</w:t>
      </w:r>
    </w:p>
    <w:p>
      <w:pPr>
        <w:pStyle w:val="Normal"/>
        <w:rPr/>
      </w:pPr>
      <w:r>
        <w:rPr>
          <w:b/>
          <w:color w:val="14436C"/>
        </w:rPr>
        <w:t xml:space="preserve">Problem ve amaç  </w:t>
      </w:r>
      <w:r>
        <w:rPr/>
        <w:t>Veri pipeline’ları kaynak sistemlerden veriyi alıp dönüştürerek veri ambarlarına veya analitik sistemlere aktarır. Şema değişiklikleri, bağlantı yetki sorunları ve zaman aşımları pipeline çalışmasını bozabilir. Veri mühendisleri logları ve başarısız adımları tek tek incelemek zorunda kalır. Agent bu incelemeyi hızlandırmayı hedefler.</w:t>
      </w:r>
    </w:p>
    <w:p>
      <w:pPr>
        <w:pStyle w:val="Normal"/>
        <w:rPr/>
      </w:pPr>
      <w:r>
        <w:rPr>
          <w:b/>
          <w:color w:val="14436C"/>
        </w:rPr>
        <w:t xml:space="preserve">Örnek senaryo  </w:t>
      </w:r>
      <w:r>
        <w:rPr/>
        <w:t>Microsoft Fabric üzerinde gece çalışan satış ETL pipeline’ı başarısız olur. Kaynak tablodaki amount sütunu sayısaldan metne değişmiştir; dönüşüm adımı beklenen tipe çeviremediği için hata verir. Agent çalışma logu ve şema bilgisini inceleyerek başarısız adımı, olası schema mismatch nedenini ve kontrol edilecek dönüşümü raporlar. Diğer örnekler: 401/403 erişim hatası ve timeout.</w:t>
      </w:r>
    </w:p>
    <w:p>
      <w:pPr>
        <w:pStyle w:val="Normal"/>
        <w:rPr/>
      </w:pPr>
      <w:r>
        <w:rPr>
          <w:b/>
          <w:color w:val="14436C"/>
        </w:rPr>
        <w:t xml:space="preserve">Teknik yaklaşım ve Foundry rolü  </w:t>
      </w:r>
      <w:r>
        <w:rPr/>
        <w:t>Fabric veya Databricks çalışma geçmişi, hata mesajları ve pipeline metadata bilgileri uygun API’ler aracılığıyla salt okunur olarak alınır. Foundry agent’ı araç çağrılarıyla log ve bağımlılıkları sorgular; hatayı sınıflandırır, muhtemel kök nedenleri ve önerilen kontrol adımlarını açıklar. Kesin kök neden iddiası yalnızca log kanıtı varsa yapılır.</w:t>
      </w:r>
    </w:p>
    <w:p>
      <w:pPr>
        <w:pStyle w:val="Normal"/>
        <w:rPr/>
      </w:pPr>
      <w:r>
        <w:rPr>
          <w:b/>
          <w:color w:val="14436C"/>
        </w:rPr>
        <w:t xml:space="preserve">İlk sürüm (MVP)  </w:t>
      </w:r>
      <w:r>
        <w:rPr/>
        <w:t>Sentetik pipeline çalışmaları ve 10–15 örnek hata logu; hata kategorisi, başarısız adım, olası neden ve çözüm kontrol listesi. Gerçek Fabric/Databricks API entegrasyonu ikinci faz; otomatik yeniden çalıştırma kapsam dışıdır.</w:t>
      </w:r>
    </w:p>
    <w:p>
      <w:pPr>
        <w:pStyle w:val="Normal"/>
        <w:rPr/>
      </w:pPr>
      <w:r>
        <w:rPr>
          <w:b/>
          <w:color w:val="14436C"/>
        </w:rPr>
        <w:t xml:space="preserve">Fayda ve riskler  </w:t>
      </w:r>
      <w:r>
        <w:rPr/>
        <w:t>Beklenen değer: olay inceleme süresinin kısalması ve tutarlı hata raporları. Riskler: eksik logdan yanlış çıkarım, loglarda sırların bulunması ve hatalı otomatik müdahale. Önlem: gizli alan maskeleme, salt okunur araçlar ve insan onayı.</w:t>
      </w:r>
    </w:p>
    <w:p>
      <w:pPr>
        <w:pStyle w:val="Heading1"/>
        <w:rPr/>
      </w:pPr>
      <w:r>
        <w:rPr/>
        <w:t>Karşılaştırmalı Ön Değerlendirme</w:t>
      </w:r>
    </w:p>
    <w:p>
      <w:pPr>
        <w:pStyle w:val="Normal"/>
        <w:rPr/>
      </w:pPr>
      <w:r>
        <w:rPr/>
        <w:t>Aşağıdaki nitel değerlendirme, proje kapsamına ilişkin ilk tahmindir; gerçek veri ve altyapı erişimiyle yeniden değerlendirilmelidir.</w:t>
      </w:r>
    </w:p>
    <w:tbl>
      <w:tblPr>
        <w:tblStyle w:val="LightShading-Accent1"/>
        <w:tblW w:w="979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48"/>
        <w:gridCol w:w="2448"/>
        <w:gridCol w:w="2448"/>
        <w:gridCol w:w="2447"/>
      </w:tblGrid>
      <w:tr>
        <w:trPr/>
        <w:tc>
          <w:tcPr>
            <w:tcW w:w="2448" w:type="dxa"/>
            <w:tcBorders/>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Proje</w:t>
            </w:r>
          </w:p>
        </w:tc>
        <w:tc>
          <w:tcPr>
            <w:tcW w:w="2448" w:type="dxa"/>
            <w:tcBorders/>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Teknik zorluk</w:t>
            </w:r>
          </w:p>
        </w:tc>
        <w:tc>
          <w:tcPr>
            <w:tcW w:w="2448" w:type="dxa"/>
            <w:tcBorders/>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Demo kolaylığı</w:t>
            </w:r>
          </w:p>
        </w:tc>
        <w:tc>
          <w:tcPr>
            <w:tcW w:w="2447" w:type="dxa"/>
            <w:tcBorders/>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Öne çıkan değer</w:t>
            </w:r>
          </w:p>
        </w:tc>
      </w:tr>
      <w:tr>
        <w:trPr/>
        <w:tc>
          <w:tcPr>
            <w:tcW w:w="2448" w:type="dxa"/>
            <w:tcBorders>
              <w:top w:val="nil"/>
              <w:bottom w:val="nil"/>
            </w:tcBorders>
            <w:shd w:color="auto" w:fill="D3DFEE" w:themeFill="accent1" w:themeFillTint="3f" w:val="clear"/>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Anomaly Investigation</w:t>
            </w:r>
          </w:p>
        </w:tc>
        <w:tc>
          <w:tcPr>
            <w:tcW w:w="2448" w:type="dxa"/>
            <w:tcBorders>
              <w:top w:val="nil"/>
              <w:bottom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Yüksek</w:t>
            </w:r>
          </w:p>
        </w:tc>
        <w:tc>
          <w:tcPr>
            <w:tcW w:w="2448" w:type="dxa"/>
            <w:tcBorders>
              <w:top w:val="nil"/>
              <w:bottom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Orta</w:t>
            </w:r>
          </w:p>
        </w:tc>
        <w:tc>
          <w:tcPr>
            <w:tcW w:w="2447" w:type="dxa"/>
            <w:tcBorders>
              <w:top w:val="nil"/>
              <w:bottom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Analitik araştırma</w:t>
            </w:r>
          </w:p>
        </w:tc>
      </w:tr>
      <w:tr>
        <w:trPr/>
        <w:tc>
          <w:tcPr>
            <w:tcW w:w="2448" w:type="dxa"/>
            <w:tcBorders>
              <w:top w:val="nil"/>
              <w:bottom w:val="nil"/>
            </w:tcBorders>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Enterprise Knowledge</w:t>
            </w:r>
          </w:p>
        </w:tc>
        <w:tc>
          <w:tcPr>
            <w:tcW w:w="2448" w:type="dxa"/>
            <w:tcBorders>
              <w:top w:val="nil"/>
              <w:bottom w:val="nil"/>
            </w:tcBorders>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Orta</w:t>
            </w:r>
          </w:p>
        </w:tc>
        <w:tc>
          <w:tcPr>
            <w:tcW w:w="2448" w:type="dxa"/>
            <w:tcBorders>
              <w:top w:val="nil"/>
              <w:bottom w:val="nil"/>
            </w:tcBorders>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Yüksek</w:t>
            </w:r>
          </w:p>
        </w:tc>
        <w:tc>
          <w:tcPr>
            <w:tcW w:w="2447" w:type="dxa"/>
            <w:tcBorders>
              <w:top w:val="nil"/>
              <w:bottom w:val="nil"/>
            </w:tcBorders>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Kurumsal bilgi erişimi</w:t>
            </w:r>
          </w:p>
        </w:tc>
      </w:tr>
      <w:tr>
        <w:trPr/>
        <w:tc>
          <w:tcPr>
            <w:tcW w:w="2448" w:type="dxa"/>
            <w:tcBorders>
              <w:top w:val="nil"/>
              <w:bottom w:val="nil"/>
            </w:tcBorders>
            <w:shd w:color="auto" w:fill="D3DFEE" w:themeFill="accent1" w:themeFillTint="3f" w:val="clear"/>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Customer Information</w:t>
            </w:r>
          </w:p>
        </w:tc>
        <w:tc>
          <w:tcPr>
            <w:tcW w:w="2448" w:type="dxa"/>
            <w:tcBorders>
              <w:top w:val="nil"/>
              <w:bottom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Düşük–orta</w:t>
            </w:r>
          </w:p>
        </w:tc>
        <w:tc>
          <w:tcPr>
            <w:tcW w:w="2448" w:type="dxa"/>
            <w:tcBorders>
              <w:top w:val="nil"/>
              <w:bottom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Çok yüksek</w:t>
            </w:r>
          </w:p>
        </w:tc>
        <w:tc>
          <w:tcPr>
            <w:tcW w:w="2447" w:type="dxa"/>
            <w:tcBorders>
              <w:top w:val="nil"/>
              <w:bottom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Müşteri yönlendirme</w:t>
            </w:r>
          </w:p>
        </w:tc>
      </w:tr>
      <w:tr>
        <w:trPr/>
        <w:tc>
          <w:tcPr>
            <w:tcW w:w="2448" w:type="dxa"/>
            <w:tcBorders>
              <w:top w:val="nil"/>
              <w:bottom w:val="nil"/>
            </w:tcBorders>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Meeting &amp; Action</w:t>
            </w:r>
          </w:p>
        </w:tc>
        <w:tc>
          <w:tcPr>
            <w:tcW w:w="2448" w:type="dxa"/>
            <w:tcBorders>
              <w:top w:val="nil"/>
              <w:bottom w:val="nil"/>
            </w:tcBorders>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Orta</w:t>
            </w:r>
          </w:p>
        </w:tc>
        <w:tc>
          <w:tcPr>
            <w:tcW w:w="2448" w:type="dxa"/>
            <w:tcBorders>
              <w:top w:val="nil"/>
              <w:bottom w:val="nil"/>
            </w:tcBorders>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Yüksek</w:t>
            </w:r>
          </w:p>
        </w:tc>
        <w:tc>
          <w:tcPr>
            <w:tcW w:w="2447" w:type="dxa"/>
            <w:tcBorders>
              <w:top w:val="nil"/>
              <w:bottom w:val="nil"/>
            </w:tcBorders>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Aksiyon takibi</w:t>
            </w:r>
          </w:p>
        </w:tc>
      </w:tr>
      <w:tr>
        <w:trPr/>
        <w:tc>
          <w:tcPr>
            <w:tcW w:w="2448" w:type="dxa"/>
            <w:tcBorders>
              <w:top w:val="nil"/>
            </w:tcBorders>
            <w:shd w:color="auto" w:fill="D3DFEE" w:themeFill="accent1" w:themeFillTint="3f" w:val="clear"/>
          </w:tcPr>
          <w:p>
            <w:pPr>
              <w:pStyle w:val="Normal"/>
              <w:widowControl/>
              <w:spacing w:lineRule="auto" w:line="240" w:before="0" w:after="120"/>
              <w:jc w:val="lef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Pipeline Incident</w:t>
            </w:r>
          </w:p>
        </w:tc>
        <w:tc>
          <w:tcPr>
            <w:tcW w:w="2448" w:type="dxa"/>
            <w:tcBorders>
              <w:top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Orta–yüksek</w:t>
            </w:r>
          </w:p>
        </w:tc>
        <w:tc>
          <w:tcPr>
            <w:tcW w:w="2448" w:type="dxa"/>
            <w:tcBorders>
              <w:top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Yüksek (sentetik logla)</w:t>
            </w:r>
          </w:p>
        </w:tc>
        <w:tc>
          <w:tcPr>
            <w:tcW w:w="2447" w:type="dxa"/>
            <w:tcBorders>
              <w:top w:val="nil"/>
            </w:tcBorders>
            <w:shd w:color="auto" w:fill="D3DFEE" w:themeFill="accent1" w:themeFillTint="3f" w:val="clear"/>
          </w:tcPr>
          <w:p>
            <w:pPr>
              <w:pStyle w:val="Normal"/>
              <w:widowControl/>
              <w:spacing w:lineRule="auto" w:line="240" w:before="0" w:after="120"/>
              <w:jc w:val="lef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DataOps verimliliği</w:t>
            </w:r>
          </w:p>
        </w:tc>
      </w:tr>
    </w:tbl>
    <w:p>
      <w:pPr>
        <w:pStyle w:val="Heading1"/>
        <w:rPr/>
      </w:pPr>
      <w:r>
        <w:rPr/>
        <w:t>Önerilen Değerlendirme Sırası</w:t>
      </w:r>
    </w:p>
    <w:p>
      <w:pPr>
        <w:pStyle w:val="Normal"/>
        <w:rPr/>
      </w:pPr>
      <w:r>
        <w:rPr/>
        <w:t>1. Data Quality &amp; Anomaly Investigation Agent — veri analitiği ve anomali deneyimiyle güçlü uyum.</w:t>
        <w:br/>
        <w:t>2. Data Pipeline Monitoring &amp; Incident Assistant — Fabric/Databricks odaklı, teknik olarak somut bir DataOps senaryosu.</w:t>
        <w:br/>
        <w:t>3. Enterprise Knowledge Agent — RAG ve kurumsal yetkilendirme özelliklerini göstermeye uygun.</w:t>
        <w:br/>
        <w:t>4. Meeting &amp; Action Tracking Agent — anlaşılır, ölçülebilir MVP ve Microsoft 365 entegrasyon potansiyeli.</w:t>
        <w:br/>
        <w:t>5. Customer-Facing Company Information Assistant — en kolay demo ancak teknik farklılaşma daha sınırlı.</w:t>
      </w:r>
    </w:p>
    <w:p>
      <w:pPr>
        <w:pStyle w:val="Heading1"/>
        <w:rPr/>
      </w:pPr>
      <w:r>
        <w:rPr/>
      </w:r>
    </w:p>
    <w:sectPr>
      <w:footerReference w:type="even" r:id="rId2"/>
      <w:footerReference w:type="default" r:id="rId3"/>
      <w:footerReference w:type="first" r:id="rId4"/>
      <w:type w:val="nextPage"/>
      <w:pgSz w:w="12240" w:h="15840"/>
      <w:pgMar w:left="1224" w:right="1224" w:gutter="0" w:header="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Cambria">
    <w:charset w:val="a2"/>
    <w:family w:val="roman"/>
    <w:pitch w:val="variable"/>
  </w:font>
  <w:font w:name="Aptos">
    <w:charset w:val="a2"/>
    <w:family w:val="roman"/>
    <w:pitch w:val="variable"/>
  </w:font>
  <w:font w:name="Calibri">
    <w:charset w:val="a2"/>
    <w:family w:val="roman"/>
    <w:pitch w:val="variable"/>
  </w:font>
  <w:font w:name="Courier">
    <w:altName w:val="Courier New"/>
    <w:charset w:val="a2"/>
    <w:family w:val="roman"/>
    <w:pitch w:val="variable"/>
  </w:font>
  <w:font w:name="Liberation Sans">
    <w:altName w:val="Arial"/>
    <w:charset w:val="a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4436C"/>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4436C"/>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Stvealtbilgi">
    <w:name w:val="Üst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32D4D"/>
      <w:spacing w:val="5"/>
      <w:kern w:val="2"/>
      <w:sz w:val="4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LibreOffice/24.2.3.2$Windows_X86_64 LibreOffice_project/433d9c2ded56988e8a90e6b2e771ee4e6a5ab2ba</Application>
  <AppVersion>15.0000</AppVersion>
  <Pages>3</Pages>
  <Words>1136</Words>
  <Characters>7613</Characters>
  <CharactersWithSpaces>8715</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2026-10-20T15:06:30Z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