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rPr>
          <w:rFonts w:ascii="Malgun Gothic" w:cs="Malgun Gothic" w:eastAsia="Malgun Gothic" w:hAnsi="Malgun Gothic"/>
          <w:b/>
          <w:bCs/>
          <w:sz w:val="40"/>
          <w:szCs w:val="40"/>
        </w:rPr>
        <w:t xml:space="preserve">S1-XB 세포독성 평가 방법의 타당성 근거서</w:t>
      </w:r>
    </w:p>
    <w:p>
      <w:pPr>
        <w:spacing w:after="200"/>
        <w:jc w:val="center"/>
      </w:pPr>
      <w:r>
        <w:rPr>
          <w:rFonts w:ascii="Malgun Gothic" w:cs="Malgun Gothic" w:eastAsia="Malgun Gothic" w:hAnsi="Malgun Gothic"/>
          <w:i/>
          <w:iCs/>
          <w:color w:val="333333"/>
          <w:sz w:val="22"/>
          <w:szCs w:val="22"/>
        </w:rPr>
        <w:t xml:space="preserve">Justification for the Cytotoxicity Evaluation Approach of S1-XB</w:t>
      </w:r>
    </w:p>
    <w:p>
      <w:pPr>
        <w:spacing w:after="200" w:before="1200"/>
      </w:pPr>
      <w:r>
        <w:rPr>
          <w:rFonts w:ascii="Malgun Gothic" w:cs="Malgun Gothic" w:eastAsia="Malgun Gothic" w:hAnsi="Malgun Gothic"/>
          <w:b/>
          <w:bCs/>
          <w:sz w:val="22"/>
          <w:szCs w:val="22"/>
        </w:rPr>
        <w:t xml:space="preserve">검토 및 승인</w:t>
      </w:r>
    </w:p>
    <w:p>
      <w:pPr>
        <w:spacing w:after="200"/>
      </w:pPr>
      <w:r>
        <w:rPr>
          <w:rFonts w:ascii="Malgun Gothic" w:cs="Malgun Gothic" w:eastAsia="Malgun Gothic" w:hAnsi="Malgun Gothic"/>
          <w:color w:val="333333"/>
          <w:sz w:val="18"/>
          <w:szCs w:val="18"/>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79"/>
        <w:gridCol w:w="2679"/>
        <w:gridCol w:w="2680"/>
      </w:tblGrid>
      <w:tr>
        <w:tc>
          <w:tcPr>
            <w:tcW w:type="dxa" w:w="160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구분</w:t>
            </w:r>
          </w:p>
          <w:p>
            <w:pPr>
              <w:jc w:val="center"/>
            </w:pPr>
            <w:r>
              <w:rPr>
                <w:rFonts w:ascii="Malgun Gothic" w:cs="Malgun Gothic" w:eastAsia="Malgun Gothic" w:hAnsi="Malgun Gothic"/>
                <w:b/>
                <w:bCs/>
                <w:i w:val="false"/>
                <w:iCs w:val="false"/>
                <w:color w:val="000000"/>
                <w:sz w:val="18"/>
                <w:szCs w:val="18"/>
              </w:rPr>
              <w:t xml:space="preserve">Division</w:t>
            </w:r>
          </w:p>
        </w:tc>
        <w:tc>
          <w:tcPr>
            <w:tcW w:type="dxa" w:w="2679"/>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작 성</w:t>
            </w:r>
          </w:p>
          <w:p>
            <w:pPr>
              <w:jc w:val="center"/>
            </w:pPr>
            <w:r>
              <w:rPr>
                <w:rFonts w:ascii="Malgun Gothic" w:cs="Malgun Gothic" w:eastAsia="Malgun Gothic" w:hAnsi="Malgun Gothic"/>
                <w:b/>
                <w:bCs/>
                <w:i w:val="false"/>
                <w:iCs w:val="false"/>
                <w:color w:val="000000"/>
                <w:sz w:val="18"/>
                <w:szCs w:val="18"/>
              </w:rPr>
              <w:t xml:space="preserve">Prepared by</w:t>
            </w:r>
          </w:p>
        </w:tc>
        <w:tc>
          <w:tcPr>
            <w:tcW w:type="dxa" w:w="2679"/>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검 토</w:t>
            </w:r>
          </w:p>
          <w:p>
            <w:pPr>
              <w:jc w:val="center"/>
            </w:pPr>
            <w:r>
              <w:rPr>
                <w:rFonts w:ascii="Malgun Gothic" w:cs="Malgun Gothic" w:eastAsia="Malgun Gothic" w:hAnsi="Malgun Gothic"/>
                <w:b/>
                <w:bCs/>
                <w:i w:val="false"/>
                <w:iCs w:val="false"/>
                <w:color w:val="000000"/>
                <w:sz w:val="18"/>
                <w:szCs w:val="18"/>
              </w:rPr>
              <w:t xml:space="preserve">Reviewed by</w:t>
            </w:r>
          </w:p>
        </w:tc>
        <w:tc>
          <w:tcPr>
            <w:tcW w:type="dxa" w:w="2680"/>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승 인</w:t>
            </w:r>
          </w:p>
          <w:p>
            <w:pPr>
              <w:jc w:val="center"/>
            </w:pPr>
            <w:r>
              <w:rPr>
                <w:rFonts w:ascii="Malgun Gothic" w:cs="Malgun Gothic" w:eastAsia="Malgun Gothic" w:hAnsi="Malgun Gothic"/>
                <w:b/>
                <w:bCs/>
                <w:i w:val="false"/>
                <w:iCs w:val="false"/>
                <w:color w:val="000000"/>
                <w:sz w:val="18"/>
                <w:szCs w:val="18"/>
              </w:rPr>
              <w:t xml:space="preserve">Approved by</w:t>
            </w:r>
          </w:p>
        </w:tc>
      </w:tr>
      <w:tr>
        <w:tc>
          <w:tcPr>
            <w:tcW w:type="dxa" w:w="160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이 름</w:t>
            </w:r>
          </w:p>
          <w:p>
            <w:pPr>
              <w:jc w:val="center"/>
            </w:pPr>
            <w:r>
              <w:rPr>
                <w:rFonts w:ascii="Malgun Gothic" w:cs="Malgun Gothic" w:eastAsia="Malgun Gothic" w:hAnsi="Malgun Gothic"/>
                <w:b/>
                <w:bCs/>
                <w:i w:val="false"/>
                <w:iCs w:val="false"/>
                <w:color w:val="000000"/>
                <w:sz w:val="18"/>
                <w:szCs w:val="18"/>
              </w:rPr>
              <w:t xml:space="preserve">Name</w:t>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8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r>
      <w:tr>
        <w:tc>
          <w:tcPr>
            <w:tcW w:type="dxa" w:w="160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서 명</w:t>
            </w:r>
          </w:p>
          <w:p>
            <w:pPr>
              <w:jc w:val="center"/>
            </w:pPr>
            <w:r>
              <w:rPr>
                <w:rFonts w:ascii="Malgun Gothic" w:cs="Malgun Gothic" w:eastAsia="Malgun Gothic" w:hAnsi="Malgun Gothic"/>
                <w:b/>
                <w:bCs/>
                <w:i w:val="false"/>
                <w:iCs w:val="false"/>
                <w:color w:val="000000"/>
                <w:sz w:val="18"/>
                <w:szCs w:val="18"/>
              </w:rPr>
              <w:t xml:space="preserve">Signature</w:t>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8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r>
      <w:tr>
        <w:tc>
          <w:tcPr>
            <w:tcW w:type="dxa" w:w="160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8"/>
                <w:szCs w:val="18"/>
              </w:rPr>
              <w:t xml:space="preserve">날 짜</w:t>
            </w:r>
          </w:p>
          <w:p>
            <w:pPr>
              <w:jc w:val="center"/>
            </w:pPr>
            <w:r>
              <w:rPr>
                <w:rFonts w:ascii="Malgun Gothic" w:cs="Malgun Gothic" w:eastAsia="Malgun Gothic" w:hAnsi="Malgun Gothic"/>
                <w:b/>
                <w:bCs/>
                <w:i w:val="false"/>
                <w:iCs w:val="false"/>
                <w:color w:val="000000"/>
                <w:sz w:val="18"/>
                <w:szCs w:val="18"/>
              </w:rPr>
              <w:t xml:space="preserve">Date</w:t>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7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c>
          <w:tcPr>
            <w:tcW w:type="dxa" w:w="268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
            </w:r>
          </w:p>
        </w:tc>
      </w:tr>
    </w:tbl>
    <w:p>
      <w:r>
        <w:br w:type="page"/>
      </w:r>
    </w:p>
    <w:p>
      <w:pPr>
        <w:pStyle w:val="Heading1"/>
      </w:pPr>
      <w:r>
        <w:rPr>
          <w:rFonts w:ascii="Malgun Gothic" w:cs="Malgun Gothic" w:eastAsia="Malgun Gothic" w:hAnsi="Malgun Gothic"/>
        </w:rPr>
        <w:t xml:space="preserve">목 차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rPr>
        <w:t xml:space="preserve">1. 목적  Purpose</w:t>
      </w:r>
    </w:p>
    <w:p>
      <w:pPr>
        <w:spacing w:after="120" w:line="288"/>
      </w:pPr>
      <w:r>
        <w:rPr>
          <w:rFonts w:ascii="Malgun Gothic" w:cs="Malgun Gothic" w:eastAsia="Malgun Gothic" w:hAnsi="Malgun Gothic"/>
          <w:b w:val="false"/>
          <w:bCs w:val="false"/>
          <w:color w:val="000000"/>
          <w:sz w:val="20"/>
          <w:szCs w:val="20"/>
        </w:rPr>
        <w:t xml:space="preserve">본 문서는 S1-XB의 PMDA(Pharmaceuticals and Medical Devices Agency, 일본 의약품의료기기종합기구) 허가 신청 자료로서, 세포독성 시험을 CFA(Colony Formation Assay, 콜로니 형성법)가 아닌 MTT 시험으로 설정한 사유와 그 타당성을 제시하기 위해 작성되었다.</w:t>
      </w:r>
    </w:p>
    <w:p>
      <w:pPr>
        <w:spacing w:after="120" w:line="288"/>
      </w:pPr>
      <w:r>
        <w:rPr>
          <w:rFonts w:ascii="Malgun Gothic" w:cs="Malgun Gothic" w:eastAsia="Malgun Gothic" w:hAnsi="Malgun Gothic"/>
          <w:b w:val="false"/>
          <w:bCs w:val="false"/>
          <w:color w:val="333333"/>
          <w:sz w:val="18"/>
          <w:szCs w:val="18"/>
        </w:rPr>
        <w:t xml:space="preserve">This report is submitted as part of the PMDA (Pharmaceuticals and Medical Devices Agency) application for S1-XB, and presents the rationale and justification for setting the MTT assay, rather than the CFA (Colony Formation Assay), as the cytotoxicity test.</w:t>
      </w:r>
    </w:p>
    <w:p>
      <w:pPr>
        <w:spacing w:after="120" w:line="288"/>
      </w:pPr>
      <w:r>
        <w:rPr>
          <w:rFonts w:ascii="Malgun Gothic" w:cs="Malgun Gothic" w:eastAsia="Malgun Gothic" w:hAnsi="Malgun Gothic"/>
          <w:b w:val="false"/>
          <w:bCs w:val="false"/>
          <w:color w:val="000000"/>
          <w:sz w:val="20"/>
          <w:szCs w:val="20"/>
        </w:rPr>
        <w:t xml:space="preserve">세포독성 시험은 CFA가 우선 권장되나, 타당한 사유가 있는 경우 다른 시험법을 적용할 수 있다. 본 문서는 그 근거로 동일 제품의 MTT 시험과 정성평가, 이식시험, 화학적 특성 분석(CC) 및 독성학적 위험 평가(TRA), 기타 생물학적 안전성 시험 결과를 종합하여 제시한다.</w:t>
      </w:r>
    </w:p>
    <w:p>
      <w:pPr>
        <w:spacing w:after="120" w:line="288"/>
      </w:pPr>
      <w:r>
        <w:rPr>
          <w:rFonts w:ascii="Malgun Gothic" w:cs="Malgun Gothic" w:eastAsia="Malgun Gothic" w:hAnsi="Malgun Gothic"/>
          <w:b w:val="false"/>
          <w:bCs w:val="false"/>
          <w:color w:val="333333"/>
          <w:sz w:val="18"/>
          <w:szCs w:val="18"/>
        </w:rPr>
        <w:t xml:space="preserve">The CFA is the preferred cytotoxicity test, but other methods may be applied where there is a justified reason. As the basis, this report integrates the MTT assay and qualitative evaluation of the same device, the implantation studies, the chemical characterization (CC) and toxicological risk assessment (TRA), and other biological safety studies.</w:t>
      </w:r>
    </w:p>
    <w:p>
      <w:pPr>
        <w:spacing w:after="120" w:line="288"/>
      </w:pPr>
      <w:r>
        <w:rPr>
          <w:rFonts w:ascii="Malgun Gothic" w:cs="Malgun Gothic" w:eastAsia="Malgun Gothic" w:hAnsi="Malgun Gothic"/>
          <w:b w:val="false"/>
          <w:bCs w:val="false"/>
          <w:color w:val="000000"/>
          <w:sz w:val="20"/>
          <w:szCs w:val="20"/>
        </w:rPr>
        <w:t xml:space="preserve">동일 제품에 대해 추가로 수행한 CFA에서는 100%와 50% 용출액에서 콜로니 형성이 관찰되지 않았다. 본 문서는 이 결과를 해당 시험 조건에서의 in vitro 소견으로 인정하고, 전체 안전성 자료에 비추어 그 임상적 의미를 함께 평가한다.</w:t>
      </w:r>
    </w:p>
    <w:p>
      <w:pPr>
        <w:spacing w:after="120" w:line="288"/>
      </w:pPr>
      <w:r>
        <w:rPr>
          <w:rFonts w:ascii="Malgun Gothic" w:cs="Malgun Gothic" w:eastAsia="Malgun Gothic" w:hAnsi="Malgun Gothic"/>
          <w:b w:val="false"/>
          <w:bCs w:val="false"/>
          <w:color w:val="333333"/>
          <w:sz w:val="18"/>
          <w:szCs w:val="18"/>
        </w:rPr>
        <w:t xml:space="preserve">In the CFA additionally performed on the same device, no colony formation was observed at 100% and 50% extract. This report accepts this result as an in vitro finding under the test conditions and evaluates its clinical relevance in light of the totality of safety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항목</w:t>
            </w:r>
          </w:p>
          <w:p>
            <w:pPr>
              <w:jc w:val="center"/>
            </w:pPr>
            <w:r>
              <w:rPr>
                <w:rFonts w:ascii="Malgun Gothic" w:cs="Malgun Gothic" w:eastAsia="Malgun Gothic" w:hAnsi="Malgun Gothic"/>
                <w:b/>
                <w:bCs/>
                <w:i w:val="false"/>
                <w:iCs w:val="false"/>
                <w:color w:val="000000"/>
                <w:sz w:val="15"/>
                <w:szCs w:val="15"/>
              </w:rPr>
              <w:t xml:space="preserve">Item</w:t>
            </w:r>
          </w:p>
        </w:tc>
        <w:tc>
          <w:tcPr>
            <w:tcW w:type="dxa" w:w="7228"/>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내용</w:t>
            </w:r>
          </w:p>
          <w:p>
            <w:pPr>
              <w:jc w:val="center"/>
            </w:pPr>
            <w:r>
              <w:rPr>
                <w:rFonts w:ascii="Malgun Gothic" w:cs="Malgun Gothic" w:eastAsia="Malgun Gothic" w:hAnsi="Malgun Gothic"/>
                <w:b/>
                <w:bCs/>
                <w:i w:val="false"/>
                <w:iCs w:val="false"/>
                <w:color w:val="000000"/>
                <w:sz w:val="15"/>
                <w:szCs w:val="15"/>
              </w:rPr>
              <w:t xml:space="preserve">Content</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대상 제품</w:t>
            </w:r>
          </w:p>
          <w:p>
            <w:pPr>
              <w:jc w:val="center"/>
            </w:pPr>
            <w:r>
              <w:rPr>
                <w:rFonts w:ascii="Malgun Gothic" w:cs="Malgun Gothic" w:eastAsia="Malgun Gothic" w:hAnsi="Malgun Gothic"/>
                <w:b/>
                <w:bCs/>
                <w:i w:val="false"/>
                <w:iCs w:val="false"/>
                <w:color w:val="000000"/>
                <w:sz w:val="16"/>
                <w:szCs w:val="16"/>
              </w:rPr>
              <w:t xml:space="preserve">Test article</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S1-XB (최대 표시 모델 S1-XB-P300: Bone-XB 3.0 g + HPMC 1.68 g, 총중량 4.68 g)</w:t>
            </w:r>
          </w:p>
          <w:p>
            <w:pPr>
              <w:jc w:val="left"/>
            </w:pPr>
            <w:r>
              <w:rPr>
                <w:rFonts w:ascii="Malgun Gothic" w:cs="Malgun Gothic" w:eastAsia="Malgun Gothic" w:hAnsi="Malgun Gothic"/>
                <w:b w:val="false"/>
                <w:bCs w:val="false"/>
                <w:i w:val="false"/>
                <w:iCs w:val="false"/>
                <w:color w:val="000000"/>
                <w:sz w:val="16"/>
                <w:szCs w:val="16"/>
              </w:rPr>
              <w:t xml:space="preserve">S1-XB (maximum labeled model S1-XB-P300: Bone-XB 3.0 g + HPMC 1.68 g; total 4.68 g)</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종합 평가 자료</w:t>
            </w:r>
          </w:p>
          <w:p>
            <w:pPr>
              <w:jc w:val="center"/>
            </w:pPr>
            <w:r>
              <w:rPr>
                <w:rFonts w:ascii="Malgun Gothic" w:cs="Malgun Gothic" w:eastAsia="Malgun Gothic" w:hAnsi="Malgun Gothic"/>
                <w:b/>
                <w:bCs/>
                <w:i w:val="false"/>
                <w:iCs w:val="false"/>
                <w:color w:val="000000"/>
                <w:sz w:val="16"/>
                <w:szCs w:val="16"/>
              </w:rPr>
              <w:t xml:space="preserve">Documents for integrated evaluation</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BER AD-M0221 (Biological Evaluation Report, 생물학적 평가 보고서)</w:t>
            </w:r>
          </w:p>
          <w:p>
            <w:pPr>
              <w:jc w:val="left"/>
            </w:pPr>
            <w:r>
              <w:rPr>
                <w:rFonts w:ascii="Malgun Gothic" w:cs="Malgun Gothic" w:eastAsia="Malgun Gothic" w:hAnsi="Malgun Gothic"/>
                <w:b w:val="false"/>
                <w:bCs w:val="false"/>
                <w:i w:val="false"/>
                <w:iCs w:val="false"/>
                <w:color w:val="000000"/>
                <w:sz w:val="16"/>
                <w:szCs w:val="16"/>
              </w:rPr>
              <w:t xml:space="preserve">TRA AD-M0220 (Toxicological Risk Assessment, 독성학적 위험 평가)</w:t>
            </w:r>
          </w:p>
          <w:p>
            <w:pPr>
              <w:jc w:val="left"/>
            </w:pPr>
            <w:r>
              <w:rPr>
                <w:rFonts w:ascii="Malgun Gothic" w:cs="Malgun Gothic" w:eastAsia="Malgun Gothic" w:hAnsi="Malgun Gothic"/>
                <w:b w:val="false"/>
                <w:bCs w:val="false"/>
                <w:i w:val="false"/>
                <w:iCs w:val="false"/>
                <w:color w:val="000000"/>
                <w:sz w:val="16"/>
                <w:szCs w:val="16"/>
              </w:rPr>
              <w:t xml:space="preserve">CC EBPT/ELS/25/SR/006/00 (Chemical Characterization, 화학적 특성 분석)</w:t>
            </w:r>
          </w:p>
        </w:tc>
      </w:tr>
    </w:tbl>
    <w:p>
      <w:pPr>
        <w:spacing w:before="120"/>
      </w:pPr>
      <w:r>
        <w:rPr>
          <w:rFonts w:ascii="Malgun Gothic" w:cs="Malgun Gothic" w:eastAsia="Malgun Gothic" w:hAnsi="Malgun Gothic"/>
          <w:sz w:val="4"/>
          <w:szCs w:val="4"/>
        </w:rPr>
        <w:t xml:space="preserve"/>
      </w:r>
    </w:p>
    <w:p>
      <w:pPr>
        <w:pStyle w:val="Heading1"/>
      </w:pPr>
      <w:r>
        <w:rPr>
          <w:rFonts w:ascii="Malgun Gothic" w:cs="Malgun Gothic" w:eastAsia="Malgun Gothic" w:hAnsi="Malgun Gothic"/>
        </w:rPr>
        <w:t xml:space="preserve">2. 세포독성 시험 결과  Cytotoxicity Test Results</w:t>
      </w:r>
    </w:p>
    <w:p>
      <w:pPr>
        <w:spacing w:after="120" w:line="288"/>
      </w:pPr>
      <w:r>
        <w:rPr>
          <w:rFonts w:ascii="Malgun Gothic" w:cs="Malgun Gothic" w:eastAsia="Malgun Gothic" w:hAnsi="Malgun Gothic"/>
          <w:b w:val="false"/>
          <w:bCs w:val="false"/>
          <w:color w:val="000000"/>
          <w:sz w:val="20"/>
          <w:szCs w:val="20"/>
        </w:rPr>
        <w:t xml:space="preserve">동일 제품에 대한 세 건의 세포독성 시험 결과는 다음과 같다. CFA는 BER(2026.01.28) 이후 KTR(한국화학융합시험연구원)에서 추가로 수행되었다. 세 시험 모두 0.2 g/mL, 37 °C에서 용출하였다.</w:t>
      </w:r>
    </w:p>
    <w:p>
      <w:pPr>
        <w:spacing w:after="120" w:line="288"/>
      </w:pPr>
      <w:r>
        <w:rPr>
          <w:rFonts w:ascii="Malgun Gothic" w:cs="Malgun Gothic" w:eastAsia="Malgun Gothic" w:hAnsi="Malgun Gothic"/>
          <w:b w:val="false"/>
          <w:bCs w:val="false"/>
          <w:color w:val="333333"/>
          <w:sz w:val="18"/>
          <w:szCs w:val="18"/>
        </w:rPr>
        <w:t xml:space="preserve">The results of three cytotoxicity studies on the same device are as follows. The CFA was performed additionally at KTR (Korea Testing &amp; Research Institute) after the BER (28 Jan 2026). All three studies used extraction at 0.2 g/mL and 37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542"/>
        <w:gridCol w:w="2120"/>
        <w:gridCol w:w="2313"/>
        <w:gridCol w:w="1928"/>
      </w:tblGrid>
      <w:tr>
        <w:trPr>
          <w:tblHeader/>
        </w:trPr>
        <w:tc>
          <w:tcPr>
            <w:tcW w:type="dxa" w:w="1735"/>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시험</w:t>
            </w:r>
          </w:p>
          <w:p>
            <w:pPr>
              <w:jc w:val="center"/>
            </w:pPr>
            <w:r>
              <w:rPr>
                <w:rFonts w:ascii="Malgun Gothic" w:cs="Malgun Gothic" w:eastAsia="Malgun Gothic" w:hAnsi="Malgun Gothic"/>
                <w:b/>
                <w:bCs/>
                <w:i w:val="false"/>
                <w:iCs w:val="false"/>
                <w:color w:val="000000"/>
                <w:sz w:val="15"/>
                <w:szCs w:val="15"/>
              </w:rPr>
              <w:t xml:space="preserve">Study</w:t>
            </w:r>
          </w:p>
        </w:tc>
        <w:tc>
          <w:tcPr>
            <w:tcW w:type="dxa" w:w="1542"/>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세포 / 노출</w:t>
            </w:r>
          </w:p>
          <w:p>
            <w:pPr>
              <w:jc w:val="center"/>
            </w:pPr>
            <w:r>
              <w:rPr>
                <w:rFonts w:ascii="Malgun Gothic" w:cs="Malgun Gothic" w:eastAsia="Malgun Gothic" w:hAnsi="Malgun Gothic"/>
                <w:b/>
                <w:bCs/>
                <w:i w:val="false"/>
                <w:iCs w:val="false"/>
                <w:color w:val="000000"/>
                <w:sz w:val="15"/>
                <w:szCs w:val="15"/>
              </w:rPr>
              <w:t xml:space="preserve">Cells / Exposure</w:t>
            </w:r>
          </w:p>
        </w:tc>
        <w:tc>
          <w:tcPr>
            <w:tcW w:type="dxa" w:w="2120"/>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측정 대상</w:t>
            </w:r>
          </w:p>
          <w:p>
            <w:pPr>
              <w:jc w:val="center"/>
            </w:pPr>
            <w:r>
              <w:rPr>
                <w:rFonts w:ascii="Malgun Gothic" w:cs="Malgun Gothic" w:eastAsia="Malgun Gothic" w:hAnsi="Malgun Gothic"/>
                <w:b/>
                <w:bCs/>
                <w:i w:val="false"/>
                <w:iCs w:val="false"/>
                <w:color w:val="000000"/>
                <w:sz w:val="15"/>
                <w:szCs w:val="15"/>
              </w:rPr>
              <w:t xml:space="preserve">Endpoint</w:t>
            </w:r>
          </w:p>
        </w:tc>
        <w:tc>
          <w:tcPr>
            <w:tcW w:type="dxa" w:w="2313"/>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결과</w:t>
            </w:r>
          </w:p>
          <w:p>
            <w:pPr>
              <w:jc w:val="center"/>
            </w:pPr>
            <w:r>
              <w:rPr>
                <w:rFonts w:ascii="Malgun Gothic" w:cs="Malgun Gothic" w:eastAsia="Malgun Gothic" w:hAnsi="Malgun Gothic"/>
                <w:b/>
                <w:bCs/>
                <w:i w:val="false"/>
                <w:iCs w:val="false"/>
                <w:color w:val="000000"/>
                <w:sz w:val="15"/>
                <w:szCs w:val="15"/>
              </w:rPr>
              <w:t xml:space="preserve">Result</w:t>
            </w:r>
          </w:p>
        </w:tc>
        <w:tc>
          <w:tcPr>
            <w:tcW w:type="dxa" w:w="1928"/>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판정</w:t>
            </w:r>
          </w:p>
          <w:p>
            <w:pPr>
              <w:jc w:val="center"/>
            </w:pPr>
            <w:r>
              <w:rPr>
                <w:rFonts w:ascii="Malgun Gothic" w:cs="Malgun Gothic" w:eastAsia="Malgun Gothic" w:hAnsi="Malgun Gothic"/>
                <w:b/>
                <w:bCs/>
                <w:i w:val="false"/>
                <w:iCs w:val="false"/>
                <w:color w:val="000000"/>
                <w:sz w:val="15"/>
                <w:szCs w:val="15"/>
              </w:rPr>
              <w:t xml:space="preserve">Conclusion</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CFA</w:t>
            </w:r>
          </w:p>
          <w:p>
            <w:pPr>
              <w:jc w:val="center"/>
            </w:pPr>
            <w:r>
              <w:rPr>
                <w:rFonts w:ascii="Malgun Gothic" w:cs="Malgun Gothic" w:eastAsia="Malgun Gothic" w:hAnsi="Malgun Gothic"/>
                <w:b/>
                <w:bCs/>
                <w:i w:val="false"/>
                <w:iCs w:val="false"/>
                <w:color w:val="000000"/>
                <w:sz w:val="16"/>
                <w:szCs w:val="16"/>
              </w:rPr>
              <w:t xml:space="preserve">KTR MGK-2025-001309</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V79 / 6일</w:t>
            </w:r>
          </w:p>
          <w:p>
            <w:pPr>
              <w:jc w:val="center"/>
            </w:pPr>
            <w:r>
              <w:rPr>
                <w:rFonts w:ascii="Malgun Gothic" w:cs="Malgun Gothic" w:eastAsia="Malgun Gothic" w:hAnsi="Malgun Gothic"/>
                <w:b w:val="false"/>
                <w:bCs w:val="false"/>
                <w:i w:val="false"/>
                <w:iCs w:val="false"/>
                <w:color w:val="000000"/>
                <w:sz w:val="16"/>
                <w:szCs w:val="16"/>
              </w:rPr>
              <w:t xml:space="preserve">V79 / 6 days</w:t>
            </w:r>
          </w:p>
        </w:tc>
        <w:tc>
          <w:tcPr>
            <w:tcW w:type="dxa" w:w="21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단일세포의 콜로니 형성 능력</w:t>
            </w:r>
          </w:p>
          <w:p>
            <w:pPr>
              <w:jc w:val="center"/>
            </w:pPr>
            <w:r>
              <w:rPr>
                <w:rFonts w:ascii="Malgun Gothic" w:cs="Malgun Gothic" w:eastAsia="Malgun Gothic" w:hAnsi="Malgun Gothic"/>
                <w:b w:val="false"/>
                <w:bCs w:val="false"/>
                <w:i w:val="false"/>
                <w:iCs w:val="false"/>
                <w:color w:val="000000"/>
                <w:sz w:val="16"/>
                <w:szCs w:val="16"/>
              </w:rPr>
              <w:t xml:space="preserve">Colony-forming ability of single cells</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100%: 0.0%</w:t>
            </w:r>
          </w:p>
          <w:p>
            <w:pPr>
              <w:jc w:val="center"/>
            </w:pPr>
            <w:r>
              <w:rPr>
                <w:rFonts w:ascii="Malgun Gothic" w:cs="Malgun Gothic" w:eastAsia="Malgun Gothic" w:hAnsi="Malgun Gothic"/>
                <w:b w:val="false"/>
                <w:bCs w:val="false"/>
                <w:i w:val="false"/>
                <w:iCs w:val="false"/>
                <w:color w:val="000000"/>
                <w:sz w:val="16"/>
                <w:szCs w:val="16"/>
              </w:rPr>
              <w:t xml:space="preserve">50%: 0.0%</w:t>
            </w:r>
          </w:p>
          <w:p>
            <w:pPr>
              <w:jc w:val="center"/>
            </w:pPr>
            <w:r>
              <w:rPr>
                <w:rFonts w:ascii="Malgun Gothic" w:cs="Malgun Gothic" w:eastAsia="Malgun Gothic" w:hAnsi="Malgun Gothic"/>
                <w:b w:val="false"/>
                <w:bCs w:val="false"/>
                <w:i w:val="false"/>
                <w:iCs w:val="false"/>
                <w:color w:val="000000"/>
                <w:sz w:val="16"/>
                <w:szCs w:val="16"/>
              </w:rPr>
              <w:t xml:space="preserve">25%: 94.2%</w:t>
            </w:r>
          </w:p>
          <w:p>
            <w:pPr>
              <w:jc w:val="center"/>
            </w:pPr>
            <w:r>
              <w:rPr>
                <w:rFonts w:ascii="Malgun Gothic" w:cs="Malgun Gothic" w:eastAsia="Malgun Gothic" w:hAnsi="Malgun Gothic"/>
                <w:b w:val="false"/>
                <w:bCs w:val="false"/>
                <w:i w:val="false"/>
                <w:iCs w:val="false"/>
                <w:color w:val="000000"/>
                <w:sz w:val="16"/>
                <w:szCs w:val="16"/>
              </w:rPr>
              <w:t xml:space="preserve">12.5%: 96.4%</w:t>
            </w:r>
          </w:p>
          <w:p>
            <w:pPr>
              <w:jc w:val="center"/>
            </w:pPr>
            <w:r>
              <w:rPr>
                <w:rFonts w:ascii="Malgun Gothic" w:cs="Malgun Gothic" w:eastAsia="Malgun Gothic" w:hAnsi="Malgun Gothic"/>
                <w:b w:val="false"/>
                <w:bCs w:val="false"/>
                <w:i w:val="false"/>
                <w:iCs w:val="false"/>
                <w:color w:val="000000"/>
                <w:sz w:val="16"/>
                <w:szCs w:val="16"/>
              </w:rPr>
              <w:t xml:space="preserve">IC50 36.7%</w:t>
            </w:r>
          </w:p>
        </w:tc>
        <w:tc>
          <w:tcPr>
            <w:tcW w:type="dxa" w:w="19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세포독성 (해당 조건)</w:t>
            </w:r>
          </w:p>
          <w:p>
            <w:pPr>
              <w:jc w:val="center"/>
            </w:pPr>
            <w:r>
              <w:rPr>
                <w:rFonts w:ascii="Malgun Gothic" w:cs="Malgun Gothic" w:eastAsia="Malgun Gothic" w:hAnsi="Malgun Gothic"/>
                <w:b w:val="false"/>
                <w:bCs w:val="false"/>
                <w:i w:val="false"/>
                <w:iCs w:val="false"/>
                <w:color w:val="000000"/>
                <w:sz w:val="16"/>
                <w:szCs w:val="16"/>
              </w:rPr>
              <w:t xml:space="preserve">Cytotoxic (under these conditions)</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MTT</w:t>
            </w:r>
          </w:p>
          <w:p>
            <w:pPr>
              <w:jc w:val="center"/>
            </w:pPr>
            <w:r>
              <w:rPr>
                <w:rFonts w:ascii="Malgun Gothic" w:cs="Malgun Gothic" w:eastAsia="Malgun Gothic" w:hAnsi="Malgun Gothic"/>
                <w:b/>
                <w:bCs/>
                <w:i w:val="false"/>
                <w:iCs w:val="false"/>
                <w:color w:val="000000"/>
                <w:sz w:val="16"/>
                <w:szCs w:val="16"/>
              </w:rPr>
              <w:t xml:space="preserve">Bioneeds BIO-GNT 816</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L-929 / 24 h</w:t>
            </w:r>
          </w:p>
        </w:tc>
        <w:tc>
          <w:tcPr>
            <w:tcW w:type="dxa" w:w="21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세포 대사 활성</w:t>
            </w:r>
          </w:p>
          <w:p>
            <w:pPr>
              <w:jc w:val="center"/>
            </w:pPr>
            <w:r>
              <w:rPr>
                <w:rFonts w:ascii="Malgun Gothic" w:cs="Malgun Gothic" w:eastAsia="Malgun Gothic" w:hAnsi="Malgun Gothic"/>
                <w:b w:val="false"/>
                <w:bCs w:val="false"/>
                <w:i w:val="false"/>
                <w:iCs w:val="false"/>
                <w:color w:val="000000"/>
                <w:sz w:val="16"/>
                <w:szCs w:val="16"/>
              </w:rPr>
              <w:t xml:space="preserve">Cell metabolic activity</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12.5%: 95.95%</w:t>
            </w:r>
          </w:p>
          <w:p>
            <w:pPr>
              <w:jc w:val="center"/>
            </w:pPr>
            <w:r>
              <w:rPr>
                <w:rFonts w:ascii="Malgun Gothic" w:cs="Malgun Gothic" w:eastAsia="Malgun Gothic" w:hAnsi="Malgun Gothic"/>
                <w:b w:val="false"/>
                <w:bCs w:val="false"/>
                <w:i w:val="false"/>
                <w:iCs w:val="false"/>
                <w:color w:val="000000"/>
                <w:sz w:val="16"/>
                <w:szCs w:val="16"/>
              </w:rPr>
              <w:t xml:space="preserve">50%: 91.59%</w:t>
            </w:r>
          </w:p>
          <w:p>
            <w:pPr>
              <w:jc w:val="center"/>
            </w:pPr>
            <w:r>
              <w:rPr>
                <w:rFonts w:ascii="Malgun Gothic" w:cs="Malgun Gothic" w:eastAsia="Malgun Gothic" w:hAnsi="Malgun Gothic"/>
                <w:b w:val="false"/>
                <w:bCs w:val="false"/>
                <w:i w:val="false"/>
                <w:iCs w:val="false"/>
                <w:color w:val="000000"/>
                <w:sz w:val="16"/>
                <w:szCs w:val="16"/>
              </w:rPr>
              <w:t xml:space="preserve">100%: 88.29%</w:t>
            </w:r>
          </w:p>
        </w:tc>
        <w:tc>
          <w:tcPr>
            <w:tcW w:type="dxa" w:w="19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무독성</w:t>
            </w:r>
          </w:p>
          <w:p>
            <w:pPr>
              <w:jc w:val="center"/>
            </w:pPr>
            <w:r>
              <w:rPr>
                <w:rFonts w:ascii="Malgun Gothic" w:cs="Malgun Gothic" w:eastAsia="Malgun Gothic" w:hAnsi="Malgun Gothic"/>
                <w:b w:val="false"/>
                <w:bCs w:val="false"/>
                <w:i w:val="false"/>
                <w:iCs w:val="false"/>
                <w:color w:val="000000"/>
                <w:sz w:val="16"/>
                <w:szCs w:val="16"/>
              </w:rPr>
              <w:t xml:space="preserve">Non-cytotoxic</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정성평가</w:t>
            </w:r>
          </w:p>
          <w:p>
            <w:pPr>
              <w:jc w:val="center"/>
            </w:pPr>
            <w:r>
              <w:rPr>
                <w:rFonts w:ascii="Malgun Gothic" w:cs="Malgun Gothic" w:eastAsia="Malgun Gothic" w:hAnsi="Malgun Gothic"/>
                <w:b/>
                <w:bCs/>
                <w:i w:val="false"/>
                <w:iCs w:val="false"/>
                <w:color w:val="000000"/>
                <w:sz w:val="16"/>
                <w:szCs w:val="16"/>
              </w:rPr>
              <w:t xml:space="preserve">Qualitative</w:t>
            </w:r>
          </w:p>
          <w:p>
            <w:pPr>
              <w:jc w:val="center"/>
            </w:pPr>
            <w:r>
              <w:rPr>
                <w:rFonts w:ascii="Malgun Gothic" w:cs="Malgun Gothic" w:eastAsia="Malgun Gothic" w:hAnsi="Malgun Gothic"/>
                <w:b/>
                <w:bCs/>
                <w:i w:val="false"/>
                <w:iCs w:val="false"/>
                <w:color w:val="000000"/>
                <w:sz w:val="16"/>
                <w:szCs w:val="16"/>
              </w:rPr>
              <w:t xml:space="preserve">Bioneeds BIO-GNT 614</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L-929 / 24 h</w:t>
            </w:r>
          </w:p>
        </w:tc>
        <w:tc>
          <w:tcPr>
            <w:tcW w:type="dxa" w:w="212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세포 형태 변화</w:t>
            </w:r>
          </w:p>
          <w:p>
            <w:pPr>
              <w:jc w:val="center"/>
            </w:pPr>
            <w:r>
              <w:rPr>
                <w:rFonts w:ascii="Malgun Gothic" w:cs="Malgun Gothic" w:eastAsia="Malgun Gothic" w:hAnsi="Malgun Gothic"/>
                <w:b w:val="false"/>
                <w:bCs w:val="false"/>
                <w:i w:val="false"/>
                <w:iCs w:val="false"/>
                <w:color w:val="000000"/>
                <w:sz w:val="16"/>
                <w:szCs w:val="16"/>
              </w:rPr>
              <w:t xml:space="preserve">Cell morphology</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100% 용출액 Grade 0</w:t>
            </w:r>
          </w:p>
          <w:p>
            <w:pPr>
              <w:jc w:val="center"/>
            </w:pPr>
            <w:r>
              <w:rPr>
                <w:rFonts w:ascii="Malgun Gothic" w:cs="Malgun Gothic" w:eastAsia="Malgun Gothic" w:hAnsi="Malgun Gothic"/>
                <w:b w:val="false"/>
                <w:bCs w:val="false"/>
                <w:i w:val="false"/>
                <w:iCs w:val="false"/>
                <w:color w:val="000000"/>
                <w:sz w:val="16"/>
                <w:szCs w:val="16"/>
              </w:rPr>
              <w:t xml:space="preserve">100% extract: Grade 0</w:t>
            </w:r>
          </w:p>
        </w:tc>
        <w:tc>
          <w:tcPr>
            <w:tcW w:type="dxa" w:w="19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무독성</w:t>
            </w:r>
          </w:p>
          <w:p>
            <w:pPr>
              <w:jc w:val="center"/>
            </w:pPr>
            <w:r>
              <w:rPr>
                <w:rFonts w:ascii="Malgun Gothic" w:cs="Malgun Gothic" w:eastAsia="Malgun Gothic" w:hAnsi="Malgun Gothic"/>
                <w:b w:val="false"/>
                <w:bCs w:val="false"/>
                <w:i w:val="false"/>
                <w:iCs w:val="false"/>
                <w:color w:val="000000"/>
                <w:sz w:val="16"/>
                <w:szCs w:val="16"/>
              </w:rPr>
              <w:t xml:space="preserve">Non-cytotoxic</w:t>
            </w:r>
          </w:p>
        </w:tc>
      </w:tr>
    </w:tbl>
    <w:p>
      <w:pPr>
        <w:spacing w:before="120"/>
      </w:pPr>
      <w:r>
        <w:rPr>
          <w:rFonts w:ascii="Malgun Gothic" w:cs="Malgun Gothic" w:eastAsia="Malgun Gothic" w:hAnsi="Malgun Gothic"/>
          <w:sz w:val="4"/>
          <w:szCs w:val="4"/>
        </w:rPr>
        <w:t xml:space="preserve"/>
      </w:r>
    </w:p>
    <w:p>
      <w:pPr>
        <w:spacing w:after="120" w:line="288"/>
      </w:pPr>
      <w:r>
        <w:rPr>
          <w:rFonts w:ascii="Malgun Gothic" w:cs="Malgun Gothic" w:eastAsia="Malgun Gothic" w:hAnsi="Malgun Gothic"/>
          <w:b w:val="false"/>
          <w:bCs w:val="false"/>
          <w:color w:val="333333"/>
          <w:sz w:val="18"/>
          <w:szCs w:val="18"/>
        </w:rPr>
        <w:t xml:space="preserve">※ 정량 시험의 판정 기준은 두 시험 모두 대조 대비 70% 이상이면 독성 없음이다. 정성평가는 Grade 2 미만이면 독성 없음이다. KTR은 대조군 결과에 근거하여 CFA가 유효하다고 보고하였다.</w:t>
      </w:r>
    </w:p>
    <w:p>
      <w:pPr>
        <w:spacing w:after="120" w:line="288"/>
      </w:pPr>
      <w:r>
        <w:rPr>
          <w:rFonts w:ascii="Malgun Gothic" w:cs="Malgun Gothic" w:eastAsia="Malgun Gothic" w:hAnsi="Malgun Gothic"/>
          <w:b w:val="false"/>
          <w:bCs w:val="false"/>
          <w:color w:val="333333"/>
          <w:sz w:val="18"/>
          <w:szCs w:val="18"/>
        </w:rPr>
        <w:t xml:space="preserve">For both quantitative assays, ≥ 70% of control is non-cytotoxic; for the qualitative evaluation, Grade &lt; 2 is non-cytotoxic. KTR reported the CFA as valid based on the control results.</w:t>
      </w:r>
    </w:p>
    <w:p>
      <w:pPr>
        <w:spacing w:after="120" w:line="288"/>
      </w:pPr>
      <w:r>
        <w:rPr>
          <w:rFonts w:ascii="Malgun Gothic" w:cs="Malgun Gothic" w:eastAsia="Malgun Gothic" w:hAnsi="Malgun Gothic"/>
          <w:b w:val="false"/>
          <w:bCs w:val="false"/>
          <w:color w:val="000000"/>
          <w:sz w:val="20"/>
          <w:szCs w:val="20"/>
        </w:rPr>
        <w:t xml:space="preserve">CFA는 낮은 밀도의 세포가 6일 동안 반복 분열하여 콜로니를 형성해야 하는 시험으로, 24시간 동안의 대사 활성을 보는 MTT와 측정 대상 및 조건이 다르다. 시험법과 조건에 따라 같은 재료의 결과가 달라질 수 있으며, in vitro 결과는 in vivo 자료와 함께 종합 판단해야 한다(참고문헌 4).</w:t>
      </w:r>
    </w:p>
    <w:p>
      <w:pPr>
        <w:spacing w:after="120" w:line="288"/>
      </w:pPr>
      <w:r>
        <w:rPr>
          <w:rFonts w:ascii="Malgun Gothic" w:cs="Malgun Gothic" w:eastAsia="Malgun Gothic" w:hAnsi="Malgun Gothic"/>
          <w:b w:val="false"/>
          <w:bCs w:val="false"/>
          <w:color w:val="333333"/>
          <w:sz w:val="18"/>
          <w:szCs w:val="18"/>
        </w:rPr>
        <w:t xml:space="preserve">The CFA requires low-density cells to divide repeatedly over 6 days to form colonies, and differs in endpoint and conditions from the MTT assay, which measures metabolic activity over 24 h. Results for the same material may differ by assay and conditions, and in vitro results should be judged together with in vivo data (Ref. 4).</w:t>
      </w:r>
    </w:p>
    <w:p>
      <w:pPr>
        <w:spacing w:after="120" w:line="288"/>
      </w:pPr>
      <w:r>
        <w:rPr>
          <w:rFonts w:ascii="Malgun Gothic" w:cs="Malgun Gothic" w:eastAsia="Malgun Gothic" w:hAnsi="Malgun Gothic"/>
          <w:b w:val="false"/>
          <w:bCs w:val="false"/>
          <w:color w:val="000000"/>
          <w:sz w:val="20"/>
          <w:szCs w:val="20"/>
        </w:rPr>
        <w:t xml:space="preserve">두 시험 간 차이의 원인은 확정하지 않았다. 따라서 CFA 결과의 임상적 의미는 3항의 이식시험, CC·TRA, 기타 생물학적 안전성 시험 결과로 판단한다.</w:t>
      </w:r>
    </w:p>
    <w:p>
      <w:pPr>
        <w:spacing w:after="120" w:line="288"/>
      </w:pPr>
      <w:r>
        <w:rPr>
          <w:rFonts w:ascii="Malgun Gothic" w:cs="Malgun Gothic" w:eastAsia="Malgun Gothic" w:hAnsi="Malgun Gothic"/>
          <w:b w:val="false"/>
          <w:bCs w:val="false"/>
          <w:color w:val="333333"/>
          <w:sz w:val="18"/>
          <w:szCs w:val="18"/>
        </w:rPr>
        <w:t xml:space="preserve">The cause of the difference between the assays was not determined. The clinical relevance of the CFA result is therefore judged from the implantation studies, CC/TRA and other biological safety studies in Section 3.</w:t>
      </w:r>
    </w:p>
    <w:p>
      <w:pPr>
        <w:pStyle w:val="Heading1"/>
      </w:pPr>
      <w:r>
        <w:rPr>
          <w:rFonts w:ascii="Malgun Gothic" w:cs="Malgun Gothic" w:eastAsia="Malgun Gothic" w:hAnsi="Malgun Gothic"/>
        </w:rPr>
        <w:t xml:space="preserve">3. CFA 결과의 임상적 의미 평가  Clinical Relevance of the CFA Result</w:t>
      </w:r>
    </w:p>
    <w:p>
      <w:pPr>
        <w:pStyle w:val="Heading2"/>
      </w:pPr>
      <w:r>
        <w:rPr>
          <w:rFonts w:ascii="Malgun Gothic" w:cs="Malgun Gothic" w:eastAsia="Malgun Gothic" w:hAnsi="Malgun Gothic"/>
        </w:rPr>
        <w:t xml:space="preserve">3.1 토끼 뼈 이식시험  Rabbit Bone Implantation Studies (ISO 10993-6)</w:t>
      </w:r>
    </w:p>
    <w:p>
      <w:pPr>
        <w:spacing w:after="120" w:line="288"/>
      </w:pPr>
      <w:r>
        <w:rPr>
          <w:rFonts w:ascii="Malgun Gothic" w:cs="Malgun Gothic" w:eastAsia="Malgun Gothic" w:hAnsi="Malgun Gothic"/>
          <w:b w:val="false"/>
          <w:bCs w:val="false"/>
          <w:color w:val="000000"/>
          <w:sz w:val="20"/>
          <w:szCs w:val="20"/>
        </w:rPr>
        <w:t xml:space="preserve">S1-XB를 임상 사용 부위와 같은 뼈 조직(뉴질랜드 백색 토끼 경골)에 4주, 8주, 13주 동안 이식하였다. 대조군은 Bio-Oss®이며, 세 시험 모두 ISO 10993-6:2016에 따라 GLP 기관에서 수행되었다.</w:t>
      </w:r>
    </w:p>
    <w:p>
      <w:pPr>
        <w:spacing w:after="120" w:line="288"/>
      </w:pPr>
      <w:r>
        <w:rPr>
          <w:rFonts w:ascii="Malgun Gothic" w:cs="Malgun Gothic" w:eastAsia="Malgun Gothic" w:hAnsi="Malgun Gothic"/>
          <w:b w:val="false"/>
          <w:bCs w:val="false"/>
          <w:color w:val="333333"/>
          <w:sz w:val="18"/>
          <w:szCs w:val="18"/>
        </w:rPr>
        <w:t xml:space="preserve">S1-XB was implanted for 4, 8 and 13 weeks in bone tissue (tibia of New Zealand White rabbits), the same tissue as clinical use. The control was Bio-Oss®, and all three studies were conducted under GLP in accordance with ISO 10993-6:2016.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3084"/>
        <w:gridCol w:w="1542"/>
        <w:gridCol w:w="1349"/>
        <w:gridCol w:w="2506"/>
      </w:tblGrid>
      <w:tr>
        <w:trPr>
          <w:tblHeader/>
        </w:trPr>
        <w:tc>
          <w:tcPr>
            <w:tcW w:type="dxa" w:w="1157"/>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기간</w:t>
            </w:r>
          </w:p>
          <w:p>
            <w:pPr>
              <w:jc w:val="center"/>
            </w:pPr>
            <w:r>
              <w:rPr>
                <w:rFonts w:ascii="Malgun Gothic" w:cs="Malgun Gothic" w:eastAsia="Malgun Gothic" w:hAnsi="Malgun Gothic"/>
                <w:b/>
                <w:bCs/>
                <w:i w:val="false"/>
                <w:iCs w:val="false"/>
                <w:color w:val="000000"/>
                <w:sz w:val="15"/>
                <w:szCs w:val="15"/>
              </w:rPr>
              <w:t xml:space="preserve">Period</w:t>
            </w:r>
          </w:p>
        </w:tc>
        <w:tc>
          <w:tcPr>
            <w:tcW w:type="dxa" w:w="3084"/>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시험번호 / 시험기관</w:t>
            </w:r>
          </w:p>
          <w:p>
            <w:pPr>
              <w:jc w:val="center"/>
            </w:pPr>
            <w:r>
              <w:rPr>
                <w:rFonts w:ascii="Malgun Gothic" w:cs="Malgun Gothic" w:eastAsia="Malgun Gothic" w:hAnsi="Malgun Gothic"/>
                <w:b/>
                <w:bCs/>
                <w:i w:val="false"/>
                <w:iCs w:val="false"/>
                <w:color w:val="000000"/>
                <w:sz w:val="15"/>
                <w:szCs w:val="15"/>
              </w:rPr>
              <w:t xml:space="preserve">Study No. / Facility</w:t>
            </w:r>
          </w:p>
        </w:tc>
        <w:tc>
          <w:tcPr>
            <w:tcW w:type="dxa" w:w="1542"/>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반응 점수</w:t>
            </w:r>
          </w:p>
          <w:p>
            <w:pPr>
              <w:jc w:val="center"/>
            </w:pPr>
            <w:r>
              <w:rPr>
                <w:rFonts w:ascii="Malgun Gothic" w:cs="Malgun Gothic" w:eastAsia="Malgun Gothic" w:hAnsi="Malgun Gothic"/>
                <w:b/>
                <w:bCs/>
                <w:i w:val="false"/>
                <w:iCs w:val="false"/>
                <w:color w:val="000000"/>
                <w:sz w:val="15"/>
                <w:szCs w:val="15"/>
              </w:rPr>
              <w:t xml:space="preserve">Reaction score</w:t>
            </w:r>
          </w:p>
        </w:tc>
        <w:tc>
          <w:tcPr>
            <w:tcW w:type="dxa" w:w="1349"/>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괴사</w:t>
            </w:r>
          </w:p>
          <w:p>
            <w:pPr>
              <w:jc w:val="center"/>
            </w:pPr>
            <w:r>
              <w:rPr>
                <w:rFonts w:ascii="Malgun Gothic" w:cs="Malgun Gothic" w:eastAsia="Malgun Gothic" w:hAnsi="Malgun Gothic"/>
                <w:b/>
                <w:bCs/>
                <w:i w:val="false"/>
                <w:iCs w:val="false"/>
                <w:color w:val="000000"/>
                <w:sz w:val="15"/>
                <w:szCs w:val="15"/>
              </w:rPr>
              <w:t xml:space="preserve">Necrosis</w:t>
            </w:r>
          </w:p>
        </w:tc>
        <w:tc>
          <w:tcPr>
            <w:tcW w:type="dxa" w:w="2506"/>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판정</w:t>
            </w:r>
          </w:p>
          <w:p>
            <w:pPr>
              <w:jc w:val="center"/>
            </w:pPr>
            <w:r>
              <w:rPr>
                <w:rFonts w:ascii="Malgun Gothic" w:cs="Malgun Gothic" w:eastAsia="Malgun Gothic" w:hAnsi="Malgun Gothic"/>
                <w:b/>
                <w:bCs/>
                <w:i w:val="false"/>
                <w:iCs w:val="false"/>
                <w:color w:val="000000"/>
                <w:sz w:val="15"/>
                <w:szCs w:val="15"/>
              </w:rPr>
              <w:t xml:space="preserve">Conclusion</w:t>
            </w:r>
          </w:p>
        </w:tc>
      </w:tr>
      <w:tr>
        <w:trPr>
          <w:tblHeader w:val="false"/>
        </w:trPr>
        <w:tc>
          <w:tcPr>
            <w:tcW w:type="dxa" w:w="1157"/>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4주</w:t>
            </w:r>
          </w:p>
          <w:p>
            <w:pPr>
              <w:jc w:val="center"/>
            </w:pPr>
            <w:r>
              <w:rPr>
                <w:rFonts w:ascii="Malgun Gothic" w:cs="Malgun Gothic" w:eastAsia="Malgun Gothic" w:hAnsi="Malgun Gothic"/>
                <w:b/>
                <w:bCs/>
                <w:i w:val="false"/>
                <w:iCs w:val="false"/>
                <w:color w:val="000000"/>
                <w:sz w:val="16"/>
                <w:szCs w:val="16"/>
              </w:rPr>
              <w:t xml:space="preserve">4 wk</w:t>
            </w:r>
          </w:p>
        </w:tc>
        <w:tc>
          <w:tcPr>
            <w:tcW w:type="dxa" w:w="30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1177/001 / GLR Laboratories (2023)</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-0.34</w:t>
            </w:r>
          </w:p>
        </w:tc>
        <w:tc>
          <w:tcPr>
            <w:tcW w:type="dxa" w:w="134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없음</w:t>
            </w:r>
          </w:p>
          <w:p>
            <w:pPr>
              <w:jc w:val="center"/>
            </w:pPr>
            <w:r>
              <w:rPr>
                <w:rFonts w:ascii="Malgun Gothic" w:cs="Malgun Gothic" w:eastAsia="Malgun Gothic" w:hAnsi="Malgun Gothic"/>
                <w:b w:val="false"/>
                <w:bCs w:val="false"/>
                <w:i w:val="false"/>
                <w:iCs w:val="false"/>
                <w:color w:val="000000"/>
                <w:sz w:val="16"/>
                <w:szCs w:val="16"/>
              </w:rPr>
              <w:t xml:space="preserve">None</w:t>
            </w:r>
          </w:p>
        </w:tc>
        <w:tc>
          <w:tcPr>
            <w:tcW w:type="dxa" w:w="2506"/>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무반응 또는 최소 반응</w:t>
            </w:r>
          </w:p>
          <w:p>
            <w:pPr>
              <w:jc w:val="center"/>
            </w:pPr>
            <w:r>
              <w:rPr>
                <w:rFonts w:ascii="Malgun Gothic" w:cs="Malgun Gothic" w:eastAsia="Malgun Gothic" w:hAnsi="Malgun Gothic"/>
                <w:b w:val="false"/>
                <w:bCs w:val="false"/>
                <w:i w:val="false"/>
                <w:iCs w:val="false"/>
                <w:color w:val="000000"/>
                <w:sz w:val="16"/>
                <w:szCs w:val="16"/>
              </w:rPr>
              <w:t xml:space="preserve">No or minimal reaction</w:t>
            </w:r>
          </w:p>
        </w:tc>
      </w:tr>
      <w:tr>
        <w:trPr>
          <w:tblHeader w:val="false"/>
        </w:trPr>
        <w:tc>
          <w:tcPr>
            <w:tcW w:type="dxa" w:w="1157"/>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8주</w:t>
            </w:r>
          </w:p>
          <w:p>
            <w:pPr>
              <w:jc w:val="center"/>
            </w:pPr>
            <w:r>
              <w:rPr>
                <w:rFonts w:ascii="Malgun Gothic" w:cs="Malgun Gothic" w:eastAsia="Malgun Gothic" w:hAnsi="Malgun Gothic"/>
                <w:b/>
                <w:bCs/>
                <w:i w:val="false"/>
                <w:iCs w:val="false"/>
                <w:color w:val="000000"/>
                <w:sz w:val="16"/>
                <w:szCs w:val="16"/>
              </w:rPr>
              <w:t xml:space="preserve">8 wk</w:t>
            </w:r>
          </w:p>
        </w:tc>
        <w:tc>
          <w:tcPr>
            <w:tcW w:type="dxa" w:w="30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BIO-CTX 203 / Bioneeds (2020)</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+0.17</w:t>
            </w:r>
          </w:p>
        </w:tc>
        <w:tc>
          <w:tcPr>
            <w:tcW w:type="dxa" w:w="134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없음</w:t>
            </w:r>
          </w:p>
          <w:p>
            <w:pPr>
              <w:jc w:val="center"/>
            </w:pPr>
            <w:r>
              <w:rPr>
                <w:rFonts w:ascii="Malgun Gothic" w:cs="Malgun Gothic" w:eastAsia="Malgun Gothic" w:hAnsi="Malgun Gothic"/>
                <w:b w:val="false"/>
                <w:bCs w:val="false"/>
                <w:i w:val="false"/>
                <w:iCs w:val="false"/>
                <w:color w:val="000000"/>
                <w:sz w:val="16"/>
                <w:szCs w:val="16"/>
              </w:rPr>
              <w:t xml:space="preserve">None</w:t>
            </w:r>
          </w:p>
        </w:tc>
        <w:tc>
          <w:tcPr>
            <w:tcW w:type="dxa" w:w="2506"/>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최소 반응</w:t>
            </w:r>
          </w:p>
          <w:p>
            <w:pPr>
              <w:jc w:val="center"/>
            </w:pPr>
            <w:r>
              <w:rPr>
                <w:rFonts w:ascii="Malgun Gothic" w:cs="Malgun Gothic" w:eastAsia="Malgun Gothic" w:hAnsi="Malgun Gothic"/>
                <w:b w:val="false"/>
                <w:bCs w:val="false"/>
                <w:i w:val="false"/>
                <w:iCs w:val="false"/>
                <w:color w:val="000000"/>
                <w:sz w:val="16"/>
                <w:szCs w:val="16"/>
              </w:rPr>
              <w:t xml:space="preserve">Minimal reaction</w:t>
            </w:r>
          </w:p>
        </w:tc>
      </w:tr>
      <w:tr>
        <w:trPr>
          <w:tblHeader w:val="false"/>
        </w:trPr>
        <w:tc>
          <w:tcPr>
            <w:tcW w:type="dxa" w:w="1157"/>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13주</w:t>
            </w:r>
          </w:p>
          <w:p>
            <w:pPr>
              <w:jc w:val="center"/>
            </w:pPr>
            <w:r>
              <w:rPr>
                <w:rFonts w:ascii="Malgun Gothic" w:cs="Malgun Gothic" w:eastAsia="Malgun Gothic" w:hAnsi="Malgun Gothic"/>
                <w:b/>
                <w:bCs/>
                <w:i w:val="false"/>
                <w:iCs w:val="false"/>
                <w:color w:val="000000"/>
                <w:sz w:val="16"/>
                <w:szCs w:val="16"/>
              </w:rPr>
              <w:t xml:space="preserve">13 wk</w:t>
            </w:r>
          </w:p>
        </w:tc>
        <w:tc>
          <w:tcPr>
            <w:tcW w:type="dxa" w:w="308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BIO-CTX 204 / Bioneeds (2020)</w:t>
            </w:r>
          </w:p>
        </w:tc>
        <w:tc>
          <w:tcPr>
            <w:tcW w:type="dxa" w:w="1542"/>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-0.30</w:t>
            </w:r>
          </w:p>
        </w:tc>
        <w:tc>
          <w:tcPr>
            <w:tcW w:type="dxa" w:w="134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없음</w:t>
            </w:r>
          </w:p>
          <w:p>
            <w:pPr>
              <w:jc w:val="center"/>
            </w:pPr>
            <w:r>
              <w:rPr>
                <w:rFonts w:ascii="Malgun Gothic" w:cs="Malgun Gothic" w:eastAsia="Malgun Gothic" w:hAnsi="Malgun Gothic"/>
                <w:b w:val="false"/>
                <w:bCs w:val="false"/>
                <w:i w:val="false"/>
                <w:iCs w:val="false"/>
                <w:color w:val="000000"/>
                <w:sz w:val="16"/>
                <w:szCs w:val="16"/>
              </w:rPr>
              <w:t xml:space="preserve">None</w:t>
            </w:r>
          </w:p>
        </w:tc>
        <w:tc>
          <w:tcPr>
            <w:tcW w:type="dxa" w:w="2506"/>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반응 없음</w:t>
            </w:r>
          </w:p>
          <w:p>
            <w:pPr>
              <w:jc w:val="center"/>
            </w:pPr>
            <w:r>
              <w:rPr>
                <w:rFonts w:ascii="Malgun Gothic" w:cs="Malgun Gothic" w:eastAsia="Malgun Gothic" w:hAnsi="Malgun Gothic"/>
                <w:b w:val="false"/>
                <w:bCs w:val="false"/>
                <w:i w:val="false"/>
                <w:iCs w:val="false"/>
                <w:color w:val="000000"/>
                <w:sz w:val="16"/>
                <w:szCs w:val="16"/>
              </w:rPr>
              <w:t xml:space="preserve">Non-reaction</w:t>
            </w:r>
          </w:p>
        </w:tc>
      </w:tr>
    </w:tbl>
    <w:p>
      <w:pPr>
        <w:spacing w:before="120"/>
      </w:pPr>
      <w:r>
        <w:rPr>
          <w:rFonts w:ascii="Malgun Gothic" w:cs="Malgun Gothic" w:eastAsia="Malgun Gothic" w:hAnsi="Malgun Gothic"/>
          <w:sz w:val="4"/>
          <w:szCs w:val="4"/>
        </w:rPr>
        <w:t xml:space="preserve"/>
      </w:r>
    </w:p>
    <w:p>
      <w:pPr>
        <w:spacing w:after="120" w:line="288"/>
      </w:pPr>
      <w:r>
        <w:rPr>
          <w:rFonts w:ascii="Malgun Gothic" w:cs="Malgun Gothic" w:eastAsia="Malgun Gothic" w:hAnsi="Malgun Gothic"/>
          <w:b w:val="false"/>
          <w:bCs w:val="false"/>
          <w:color w:val="333333"/>
          <w:sz w:val="18"/>
          <w:szCs w:val="18"/>
        </w:rPr>
        <w:t xml:space="preserve">※ 반응 점수 = 시험군 평균 − 대조군 평균. 0.0~2.9는 무반응 또는 최소 반응으로 판정한다.</w:t>
      </w:r>
    </w:p>
    <w:p>
      <w:pPr>
        <w:spacing w:after="120" w:line="288"/>
      </w:pPr>
      <w:r>
        <w:rPr>
          <w:rFonts w:ascii="Malgun Gothic" w:cs="Malgun Gothic" w:eastAsia="Malgun Gothic" w:hAnsi="Malgun Gothic"/>
          <w:b w:val="false"/>
          <w:bCs w:val="false"/>
          <w:color w:val="333333"/>
          <w:sz w:val="18"/>
          <w:szCs w:val="18"/>
        </w:rPr>
        <w:t xml:space="preserve">Reaction score = test group mean − control group mean; 0.0–2.9 is judged as no or minimal reaction.</w:t>
      </w:r>
    </w:p>
    <w:p>
      <w:pPr>
        <w:spacing w:after="120" w:line="288"/>
      </w:pPr>
      <w:r>
        <w:rPr>
          <w:rFonts w:ascii="Malgun Gothic" w:cs="Malgun Gothic" w:eastAsia="Malgun Gothic" w:hAnsi="Malgun Gothic"/>
          <w:b w:val="false"/>
          <w:bCs w:val="false"/>
          <w:color w:val="000000"/>
          <w:sz w:val="20"/>
          <w:szCs w:val="20"/>
        </w:rPr>
        <w:t xml:space="preserve">세 시험 모두 이식 부위에서 괴사가 관찰되지 않았고, 조직 반응은 대조 기기와 같거나 낮은 수준이었다. 즉 CFA에서 관찰된 증식 억제는 실제 사용 부위의 조직에서 세포독성 반응으로 나타나지 않았다.</w:t>
      </w:r>
    </w:p>
    <w:p>
      <w:pPr>
        <w:spacing w:after="120" w:line="288"/>
      </w:pPr>
      <w:r>
        <w:rPr>
          <w:rFonts w:ascii="Malgun Gothic" w:cs="Malgun Gothic" w:eastAsia="Malgun Gothic" w:hAnsi="Malgun Gothic"/>
          <w:b w:val="false"/>
          <w:bCs w:val="false"/>
          <w:color w:val="333333"/>
          <w:sz w:val="18"/>
          <w:szCs w:val="18"/>
        </w:rPr>
        <w:t xml:space="preserve">No necrosis was observed at the implant sites in any of the three studies, and the tissue response was equal to or lower than that of the control device. That is, the inhibition of proliferation seen in the CFA did not appear as a cytotoxic reaction in the tissue of actual use.</w:t>
      </w:r>
    </w:p>
    <w:p>
      <w:pPr>
        <w:pStyle w:val="Heading2"/>
      </w:pPr>
      <w:r>
        <w:rPr>
          <w:rFonts w:ascii="Malgun Gothic" w:cs="Malgun Gothic" w:eastAsia="Malgun Gothic" w:hAnsi="Malgun Gothic"/>
        </w:rPr>
        <w:t xml:space="preserve">3.2 화학적 특성 분석 및 독성학적 위험 평가  Chemical Characterization and Toxicological Risk Assessment</w:t>
      </w:r>
    </w:p>
    <w:p>
      <w:pPr>
        <w:spacing w:after="120" w:line="288"/>
      </w:pPr>
      <w:r>
        <w:rPr>
          <w:rFonts w:ascii="Malgun Gothic" w:cs="Malgun Gothic" w:eastAsia="Malgun Gothic" w:hAnsi="Malgun Gothic"/>
          <w:b w:val="false"/>
          <w:bCs w:val="false"/>
          <w:color w:val="000000"/>
          <w:sz w:val="20"/>
          <w:szCs w:val="20"/>
        </w:rPr>
        <w:t xml:space="preserve">용출 물질은 ISO 10993-18에 따라 분석하고(Eurofins, 2025.12), ISO 10993-17에 따라 위험을 평가하였다(Adgyl, 2026.01). 추출은 3종 용매(증류수 pH 2·중성·pH 9, IPA, n-헥산)로 50 °C, 72 h, 2사이클 수행하여 세포독성 시험보다 강한 조건이었다. AET를 초과한 반휘발성 물질 6종은 모두 TRA에서 평가되었다.</w:t>
      </w:r>
    </w:p>
    <w:p>
      <w:pPr>
        <w:spacing w:after="120" w:line="288"/>
      </w:pPr>
      <w:r>
        <w:rPr>
          <w:rFonts w:ascii="Malgun Gothic" w:cs="Malgun Gothic" w:eastAsia="Malgun Gothic" w:hAnsi="Malgun Gothic"/>
          <w:b w:val="false"/>
          <w:bCs w:val="false"/>
          <w:color w:val="333333"/>
          <w:sz w:val="18"/>
          <w:szCs w:val="18"/>
        </w:rPr>
        <w:t xml:space="preserve">Extractables were analyzed per ISO 10993-18 (Eurofins, Dec 2025) and their risk assessed per ISO 10993-17 (Adgyl, Jan 2026). Extraction used three solvents (water at pH 2, neutral and pH 9; IPA; n-hexane) at 50 °C for 72 h over two cycles, harsher than the cytotoxicity extraction. All six semi-volatile substances above the AET were assessed in the TRA.</w:t>
      </w:r>
    </w:p>
    <w:p>
      <w:pPr>
        <w:spacing w:after="120" w:line="288"/>
      </w:pPr>
      <w:r>
        <w:rPr>
          <w:rFonts w:ascii="Malgun Gothic" w:cs="Malgun Gothic" w:eastAsia="Malgun Gothic" w:hAnsi="Malgun Gothic"/>
          <w:b w:val="false"/>
          <w:bCs w:val="false"/>
          <w:color w:val="000000"/>
          <w:sz w:val="20"/>
          <w:szCs w:val="20"/>
        </w:rPr>
        <w:t xml:space="preserve">CC·TRA는 1일 1개, 3.0 g(P300의 Bone-XB 중량)을 가정하였다. 최대 표시 모델 P300의 총중량(4.68 g)은 상악동 거상술 1부위의 사용 규모(문헌상 평균 이식 부피 2.60~3.70 cm³, 참고문헌 9)를 포괄하므로, 용출량이 총중량에 비례한다고 보고 P300 기준으로 다시 산정하였다.</w:t>
      </w:r>
    </w:p>
    <w:p>
      <w:pPr>
        <w:spacing w:after="120" w:line="288"/>
      </w:pPr>
      <w:r>
        <w:rPr>
          <w:rFonts w:ascii="Malgun Gothic" w:cs="Malgun Gothic" w:eastAsia="Malgun Gothic" w:hAnsi="Malgun Gothic"/>
          <w:b w:val="false"/>
          <w:bCs w:val="false"/>
          <w:color w:val="333333"/>
          <w:sz w:val="18"/>
          <w:szCs w:val="18"/>
        </w:rPr>
        <w:t xml:space="preserve">The CC/TRA assumed one device of 3.0 g (the Bone-XB weight of P300) per day. Because the total weight of the maximum labeled model P300 (4.68 g) covers the usage scale of one sinus floor elevation site (mean grafted volume 2.60–3.70 cm³ in the literature; Ref. 9), the values were rescaled to P300 assuming extractables are proportional to total weight.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313"/>
        <w:gridCol w:w="2313"/>
      </w:tblGrid>
      <w:tr>
        <w:trPr>
          <w:tblHeader/>
        </w:trPr>
        <w:tc>
          <w:tcPr>
            <w:tcW w:type="dxa" w:w="2699"/>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항목</w:t>
            </w:r>
          </w:p>
          <w:p>
            <w:pPr>
              <w:jc w:val="center"/>
            </w:pPr>
            <w:r>
              <w:rPr>
                <w:rFonts w:ascii="Malgun Gothic" w:cs="Malgun Gothic" w:eastAsia="Malgun Gothic" w:hAnsi="Malgun Gothic"/>
                <w:b/>
                <w:bCs/>
                <w:i w:val="false"/>
                <w:iCs w:val="false"/>
                <w:color w:val="000000"/>
                <w:sz w:val="15"/>
                <w:szCs w:val="15"/>
              </w:rPr>
              <w:t xml:space="preserve">Item</w:t>
            </w:r>
          </w:p>
        </w:tc>
        <w:tc>
          <w:tcPr>
            <w:tcW w:type="dxa" w:w="2313"/>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TRA 보고 값 (3.0 g)</w:t>
            </w:r>
          </w:p>
          <w:p>
            <w:pPr>
              <w:jc w:val="center"/>
            </w:pPr>
            <w:r>
              <w:rPr>
                <w:rFonts w:ascii="Malgun Gothic" w:cs="Malgun Gothic" w:eastAsia="Malgun Gothic" w:hAnsi="Malgun Gothic"/>
                <w:b/>
                <w:bCs/>
                <w:i w:val="false"/>
                <w:iCs w:val="false"/>
                <w:color w:val="000000"/>
                <w:sz w:val="15"/>
                <w:szCs w:val="15"/>
              </w:rPr>
              <w:t xml:space="preserve">As reported (3.0 g)</w:t>
            </w:r>
          </w:p>
        </w:tc>
        <w:tc>
          <w:tcPr>
            <w:tcW w:type="dxa" w:w="2313"/>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P300 재산정 (4.68 g)</w:t>
            </w:r>
          </w:p>
          <w:p>
            <w:pPr>
              <w:jc w:val="center"/>
            </w:pPr>
            <w:r>
              <w:rPr>
                <w:rFonts w:ascii="Malgun Gothic" w:cs="Malgun Gothic" w:eastAsia="Malgun Gothic" w:hAnsi="Malgun Gothic"/>
                <w:b/>
                <w:bCs/>
                <w:i w:val="false"/>
                <w:iCs w:val="false"/>
                <w:color w:val="000000"/>
                <w:sz w:val="15"/>
                <w:szCs w:val="15"/>
              </w:rPr>
              <w:t xml:space="preserve">Rescaled to P300</w:t>
            </w:r>
          </w:p>
        </w:tc>
        <w:tc>
          <w:tcPr>
            <w:tcW w:type="dxa" w:w="2313"/>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판정 기준</w:t>
            </w:r>
          </w:p>
          <w:p>
            <w:pPr>
              <w:jc w:val="center"/>
            </w:pPr>
            <w:r>
              <w:rPr>
                <w:rFonts w:ascii="Malgun Gothic" w:cs="Malgun Gothic" w:eastAsia="Malgun Gothic" w:hAnsi="Malgun Gothic"/>
                <w:b/>
                <w:bCs/>
                <w:i w:val="false"/>
                <w:iCs w:val="false"/>
                <w:color w:val="000000"/>
                <w:sz w:val="15"/>
                <w:szCs w:val="15"/>
              </w:rPr>
              <w:t xml:space="preserve">Criterion</w:t>
            </w:r>
          </w:p>
        </w:tc>
      </w:tr>
      <w:tr>
        <w:trPr>
          <w:tblHeader w:val="false"/>
        </w:trPr>
        <w:tc>
          <w:tcPr>
            <w:tcW w:type="dxa" w:w="2699"/>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누적 TQmax</w:t>
            </w:r>
          </w:p>
          <w:p>
            <w:pPr>
              <w:jc w:val="center"/>
            </w:pPr>
            <w:r>
              <w:rPr>
                <w:rFonts w:ascii="Malgun Gothic" w:cs="Malgun Gothic" w:eastAsia="Malgun Gothic" w:hAnsi="Malgun Gothic"/>
                <w:b/>
                <w:bCs/>
                <w:i w:val="false"/>
                <w:iCs w:val="false"/>
                <w:color w:val="000000"/>
                <w:sz w:val="16"/>
                <w:szCs w:val="16"/>
              </w:rPr>
              <w:t xml:space="preserve">Cumulative TQmax</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10.1 ~ 73.6 µg/day</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15.8 ~ 114.8 µg/day</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TSL 600 µg/day 미만</w:t>
            </w:r>
          </w:p>
          <w:p>
            <w:pPr>
              <w:jc w:val="center"/>
            </w:pPr>
            <w:r>
              <w:rPr>
                <w:rFonts w:ascii="Malgun Gothic" w:cs="Malgun Gothic" w:eastAsia="Malgun Gothic" w:hAnsi="Malgun Gothic"/>
                <w:b w:val="false"/>
                <w:bCs w:val="false"/>
                <w:i w:val="false"/>
                <w:iCs w:val="false"/>
                <w:color w:val="000000"/>
                <w:sz w:val="16"/>
                <w:szCs w:val="16"/>
              </w:rPr>
              <w:t xml:space="preserve">&lt; TSL 600 µg/day</w:t>
            </w:r>
          </w:p>
        </w:tc>
      </w:tr>
      <w:tr>
        <w:trPr>
          <w:tblHeader w:val="false"/>
        </w:trPr>
        <w:tc>
          <w:tcPr>
            <w:tcW w:type="dxa" w:w="2699"/>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성인 MoS 최솟값 (≤1일)</w:t>
            </w:r>
          </w:p>
          <w:p>
            <w:pPr>
              <w:jc w:val="center"/>
            </w:pPr>
            <w:r>
              <w:rPr>
                <w:rFonts w:ascii="Malgun Gothic" w:cs="Malgun Gothic" w:eastAsia="Malgun Gothic" w:hAnsi="Malgun Gothic"/>
                <w:b/>
                <w:bCs/>
                <w:i w:val="false"/>
                <w:iCs w:val="false"/>
                <w:color w:val="000000"/>
                <w:sz w:val="16"/>
                <w:szCs w:val="16"/>
              </w:rPr>
              <w:t xml:space="preserve">Adult minimum MoS (≤ 1 day)</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7.46</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4.78</w:t>
            </w:r>
          </w:p>
        </w:tc>
        <w:tc>
          <w:tcPr>
            <w:tcW w:type="dxa" w:w="2313"/>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 초과</w:t>
            </w:r>
          </w:p>
          <w:p>
            <w:pPr>
              <w:jc w:val="center"/>
            </w:pPr>
            <w:r>
              <w:rPr>
                <w:rFonts w:ascii="Malgun Gothic" w:cs="Malgun Gothic" w:eastAsia="Malgun Gothic" w:hAnsi="Malgun Gothic"/>
                <w:b w:val="false"/>
                <w:bCs w:val="false"/>
                <w:i w:val="false"/>
                <w:iCs w:val="false"/>
                <w:color w:val="000000"/>
                <w:sz w:val="16"/>
                <w:szCs w:val="16"/>
              </w:rPr>
              <w:t xml:space="preserve">&gt; 1</w:t>
            </w:r>
          </w:p>
        </w:tc>
      </w:tr>
    </w:tbl>
    <w:p>
      <w:pPr>
        <w:spacing w:before="120"/>
      </w:pPr>
      <w:r>
        <w:rPr>
          <w:rFonts w:ascii="Malgun Gothic" w:cs="Malgun Gothic" w:eastAsia="Malgun Gothic" w:hAnsi="Malgun Gothic"/>
          <w:sz w:val="4"/>
          <w:szCs w:val="4"/>
        </w:rPr>
        <w:t xml:space="preserve"/>
      </w:r>
    </w:p>
    <w:p>
      <w:pPr>
        <w:spacing w:after="120" w:line="288"/>
      </w:pPr>
      <w:r>
        <w:rPr>
          <w:rFonts w:ascii="Malgun Gothic" w:cs="Malgun Gothic" w:eastAsia="Malgun Gothic" w:hAnsi="Malgun Gothic"/>
          <w:b w:val="false"/>
          <w:bCs w:val="false"/>
          <w:color w:val="333333"/>
          <w:sz w:val="18"/>
          <w:szCs w:val="18"/>
        </w:rPr>
        <w:t xml:space="preserve">※ TRA 대상 환자는 성인(18세 이상, 골성숙 확인)이며, 본 제품은 골성숙 전 환자에게 사용하지 않는다. AET 재산정에 따라 새로 AET를 초과하는 물질은 TRA 보충에서 평가한다.</w:t>
      </w:r>
    </w:p>
    <w:p>
      <w:pPr>
        <w:spacing w:after="120" w:line="288"/>
      </w:pPr>
      <w:r>
        <w:rPr>
          <w:rFonts w:ascii="Malgun Gothic" w:cs="Malgun Gothic" w:eastAsia="Malgun Gothic" w:hAnsi="Malgun Gothic"/>
          <w:b w:val="false"/>
          <w:bCs w:val="false"/>
          <w:color w:val="333333"/>
          <w:sz w:val="18"/>
          <w:szCs w:val="18"/>
        </w:rPr>
        <w:t xml:space="preserve">The TRA target population is adults (≥ 18 years, confirmed bone maturity); the device is not used in skeletally immature patients. Substances newly exceeding the recalculated AET are to be assessed in a TRA addendum.</w:t>
      </w:r>
    </w:p>
    <w:p>
      <w:pPr>
        <w:spacing w:after="120" w:line="288"/>
      </w:pPr>
      <w:r>
        <w:rPr>
          <w:rFonts w:ascii="Malgun Gothic" w:cs="Malgun Gothic" w:eastAsia="Malgun Gothic" w:hAnsi="Malgun Gothic"/>
          <w:b w:val="false"/>
          <w:bCs w:val="false"/>
          <w:color w:val="000000"/>
          <w:sz w:val="20"/>
          <w:szCs w:val="20"/>
        </w:rPr>
        <w:t xml:space="preserve">최대 모델 기준으로도 누적 노출량은 TSL의 약 1/5이고, 성인 MoS 최솟값은 4.78로 1을 충분히 초과한다. 따라서 용출 물질에 의한 독성학적 위험은 허용 범위에 있다.</w:t>
      </w:r>
    </w:p>
    <w:p>
      <w:pPr>
        <w:spacing w:after="120" w:line="288"/>
      </w:pPr>
      <w:r>
        <w:rPr>
          <w:rFonts w:ascii="Malgun Gothic" w:cs="Malgun Gothic" w:eastAsia="Malgun Gothic" w:hAnsi="Malgun Gothic"/>
          <w:b w:val="false"/>
          <w:bCs w:val="false"/>
          <w:color w:val="333333"/>
          <w:sz w:val="18"/>
          <w:szCs w:val="18"/>
        </w:rPr>
        <w:t xml:space="preserve">Even on the maximum-model basis, the cumulative exposure is approx. one-fifth of the TSL, and the minimum adult MoS of 4.78 sufficiently exceeds 1. The toxicological risk from the extractables is therefore within the acceptable range.</w:t>
      </w:r>
    </w:p>
    <w:p>
      <w:pPr>
        <w:pStyle w:val="Heading2"/>
      </w:pPr>
      <w:r>
        <w:rPr>
          <w:rFonts w:ascii="Malgun Gothic" w:cs="Malgun Gothic" w:eastAsia="Malgun Gothic" w:hAnsi="Malgun Gothic"/>
        </w:rPr>
        <w:t xml:space="preserve">3.3 기타 생물학적 안전성 시험  Other Biological Safety Studies (ISO 10993)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tblHeader/>
        </w:trPr>
        <w:tc>
          <w:tcPr>
            <w:tcW w:type="dxa" w:w="2506"/>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시험</w:t>
            </w:r>
          </w:p>
          <w:p>
            <w:pPr>
              <w:jc w:val="center"/>
            </w:pPr>
            <w:r>
              <w:rPr>
                <w:rFonts w:ascii="Malgun Gothic" w:cs="Malgun Gothic" w:eastAsia="Malgun Gothic" w:hAnsi="Malgun Gothic"/>
                <w:b/>
                <w:bCs/>
                <w:i w:val="false"/>
                <w:iCs w:val="false"/>
                <w:color w:val="000000"/>
                <w:sz w:val="15"/>
                <w:szCs w:val="15"/>
              </w:rPr>
              <w:t xml:space="preserve">Study</w:t>
            </w:r>
          </w:p>
        </w:tc>
        <w:tc>
          <w:tcPr>
            <w:tcW w:type="dxa" w:w="3855"/>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시험번호</w:t>
            </w:r>
          </w:p>
          <w:p>
            <w:pPr>
              <w:jc w:val="center"/>
            </w:pPr>
            <w:r>
              <w:rPr>
                <w:rFonts w:ascii="Malgun Gothic" w:cs="Malgun Gothic" w:eastAsia="Malgun Gothic" w:hAnsi="Malgun Gothic"/>
                <w:b/>
                <w:bCs/>
                <w:i w:val="false"/>
                <w:iCs w:val="false"/>
                <w:color w:val="000000"/>
                <w:sz w:val="15"/>
                <w:szCs w:val="15"/>
              </w:rPr>
              <w:t xml:space="preserve">Study No.</w:t>
            </w:r>
          </w:p>
        </w:tc>
        <w:tc>
          <w:tcPr>
            <w:tcW w:type="dxa" w:w="3277"/>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결과</w:t>
            </w:r>
          </w:p>
          <w:p>
            <w:pPr>
              <w:jc w:val="center"/>
            </w:pPr>
            <w:r>
              <w:rPr>
                <w:rFonts w:ascii="Malgun Gothic" w:cs="Malgun Gothic" w:eastAsia="Malgun Gothic" w:hAnsi="Malgun Gothic"/>
                <w:b/>
                <w:bCs/>
                <w:i w:val="false"/>
                <w:iCs w:val="false"/>
                <w:color w:val="000000"/>
                <w:sz w:val="15"/>
                <w:szCs w:val="15"/>
              </w:rPr>
              <w:t xml:space="preserve">Result</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감작성</w:t>
            </w:r>
          </w:p>
          <w:p>
            <w:pPr>
              <w:jc w:val="center"/>
            </w:pPr>
            <w:r>
              <w:rPr>
                <w:rFonts w:ascii="Malgun Gothic" w:cs="Malgun Gothic" w:eastAsia="Malgun Gothic" w:hAnsi="Malgun Gothic"/>
                <w:b/>
                <w:bCs/>
                <w:i w:val="false"/>
                <w:iCs w:val="false"/>
                <w:color w:val="000000"/>
                <w:sz w:val="16"/>
                <w:szCs w:val="16"/>
              </w:rPr>
              <w:t xml:space="preserve">Sensitization</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BIO-ATX-1319 (GPMT)</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비감작성</w:t>
            </w:r>
          </w:p>
          <w:p>
            <w:pPr>
              <w:jc w:val="center"/>
            </w:pPr>
            <w:r>
              <w:rPr>
                <w:rFonts w:ascii="Malgun Gothic" w:cs="Malgun Gothic" w:eastAsia="Malgun Gothic" w:hAnsi="Malgun Gothic"/>
                <w:b w:val="false"/>
                <w:bCs w:val="false"/>
                <w:i w:val="false"/>
                <w:iCs w:val="false"/>
                <w:color w:val="000000"/>
                <w:sz w:val="16"/>
                <w:szCs w:val="16"/>
              </w:rPr>
              <w:t xml:space="preserve">Non-sensitizer</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자극성</w:t>
            </w:r>
          </w:p>
          <w:p>
            <w:pPr>
              <w:jc w:val="center"/>
            </w:pPr>
            <w:r>
              <w:rPr>
                <w:rFonts w:ascii="Malgun Gothic" w:cs="Malgun Gothic" w:eastAsia="Malgun Gothic" w:hAnsi="Malgun Gothic"/>
                <w:b/>
                <w:bCs/>
                <w:i w:val="false"/>
                <w:iCs w:val="false"/>
                <w:color w:val="000000"/>
                <w:sz w:val="16"/>
                <w:szCs w:val="16"/>
              </w:rPr>
              <w:t xml:space="preserve">Irritation</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BIO-ATX-1320 (피내반응 / intracutaneous)</w:t>
            </w:r>
          </w:p>
          <w:p>
            <w:pPr>
              <w:jc w:val="center"/>
            </w:pPr>
            <w:r>
              <w:rPr>
                <w:rFonts w:ascii="Malgun Gothic" w:cs="Malgun Gothic" w:eastAsia="Malgun Gothic" w:hAnsi="Malgun Gothic"/>
                <w:b w:val="false"/>
                <w:bCs w:val="false"/>
                <w:i w:val="false"/>
                <w:iCs w:val="false"/>
                <w:color w:val="000000"/>
                <w:sz w:val="16"/>
                <w:szCs w:val="16"/>
              </w:rPr>
              <w:t xml:space="preserve">SNUH 23011201R (구강점막 / oral mucosa)</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비자극성 (자극지수 0)</w:t>
            </w:r>
          </w:p>
          <w:p>
            <w:pPr>
              <w:jc w:val="center"/>
            </w:pPr>
            <w:r>
              <w:rPr>
                <w:rFonts w:ascii="Malgun Gothic" w:cs="Malgun Gothic" w:eastAsia="Malgun Gothic" w:hAnsi="Malgun Gothic"/>
                <w:b w:val="false"/>
                <w:bCs w:val="false"/>
                <w:i w:val="false"/>
                <w:iCs w:val="false"/>
                <w:color w:val="000000"/>
                <w:sz w:val="16"/>
                <w:szCs w:val="16"/>
              </w:rPr>
              <w:t xml:space="preserve">Non-irritant (index 0)</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급성 전신독성</w:t>
            </w:r>
          </w:p>
          <w:p>
            <w:pPr>
              <w:jc w:val="center"/>
            </w:pPr>
            <w:r>
              <w:rPr>
                <w:rFonts w:ascii="Malgun Gothic" w:cs="Malgun Gothic" w:eastAsia="Malgun Gothic" w:hAnsi="Malgun Gothic"/>
                <w:b/>
                <w:bCs/>
                <w:i w:val="false"/>
                <w:iCs w:val="false"/>
                <w:color w:val="000000"/>
                <w:sz w:val="16"/>
                <w:szCs w:val="16"/>
              </w:rPr>
              <w:t xml:space="preserve">Acute systemic toxicity</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BIO-ATX-1321</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이상 없음</w:t>
            </w:r>
          </w:p>
          <w:p>
            <w:pPr>
              <w:jc w:val="center"/>
            </w:pPr>
            <w:r>
              <w:rPr>
                <w:rFonts w:ascii="Malgun Gothic" w:cs="Malgun Gothic" w:eastAsia="Malgun Gothic" w:hAnsi="Malgun Gothic"/>
                <w:b w:val="false"/>
                <w:bCs w:val="false"/>
                <w:i w:val="false"/>
                <w:iCs w:val="false"/>
                <w:color w:val="000000"/>
                <w:sz w:val="16"/>
                <w:szCs w:val="16"/>
              </w:rPr>
              <w:t xml:space="preserve">No abnormality</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발열성</w:t>
            </w:r>
          </w:p>
          <w:p>
            <w:pPr>
              <w:jc w:val="center"/>
            </w:pPr>
            <w:r>
              <w:rPr>
                <w:rFonts w:ascii="Malgun Gothic" w:cs="Malgun Gothic" w:eastAsia="Malgun Gothic" w:hAnsi="Malgun Gothic"/>
                <w:b/>
                <w:bCs/>
                <w:i w:val="false"/>
                <w:iCs w:val="false"/>
                <w:color w:val="000000"/>
                <w:sz w:val="16"/>
                <w:szCs w:val="16"/>
              </w:rPr>
              <w:t xml:space="preserve">Pyrogenicity</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BIO-ATX-1322</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비발열성</w:t>
            </w:r>
          </w:p>
          <w:p>
            <w:pPr>
              <w:jc w:val="center"/>
            </w:pPr>
            <w:r>
              <w:rPr>
                <w:rFonts w:ascii="Malgun Gothic" w:cs="Malgun Gothic" w:eastAsia="Malgun Gothic" w:hAnsi="Malgun Gothic"/>
                <w:b w:val="false"/>
                <w:bCs w:val="false"/>
                <w:i w:val="false"/>
                <w:iCs w:val="false"/>
                <w:color w:val="000000"/>
                <w:sz w:val="16"/>
                <w:szCs w:val="16"/>
              </w:rPr>
              <w:t xml:space="preserve">Non-pyrogenic</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아급성 독성 (28일)</w:t>
            </w:r>
          </w:p>
          <w:p>
            <w:pPr>
              <w:jc w:val="center"/>
            </w:pPr>
            <w:r>
              <w:rPr>
                <w:rFonts w:ascii="Malgun Gothic" w:cs="Malgun Gothic" w:eastAsia="Malgun Gothic" w:hAnsi="Malgun Gothic"/>
                <w:b/>
                <w:bCs/>
                <w:i w:val="false"/>
                <w:iCs w:val="false"/>
                <w:color w:val="000000"/>
                <w:sz w:val="16"/>
                <w:szCs w:val="16"/>
              </w:rPr>
              <w:t xml:space="preserve">Subacute toxicity (28 days)</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BIO-CTX-164</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시험물질 관련 전신 영향 없음</w:t>
            </w:r>
          </w:p>
          <w:p>
            <w:pPr>
              <w:jc w:val="center"/>
            </w:pPr>
            <w:r>
              <w:rPr>
                <w:rFonts w:ascii="Malgun Gothic" w:cs="Malgun Gothic" w:eastAsia="Malgun Gothic" w:hAnsi="Malgun Gothic"/>
                <w:b w:val="false"/>
                <w:bCs w:val="false"/>
                <w:i w:val="false"/>
                <w:iCs w:val="false"/>
                <w:color w:val="000000"/>
                <w:sz w:val="16"/>
                <w:szCs w:val="16"/>
              </w:rPr>
              <w:t xml:space="preserve">No test-item-related systemic effects</w:t>
            </w:r>
          </w:p>
        </w:tc>
      </w:tr>
      <w:tr>
        <w:trPr>
          <w:tblHeader w:val="false"/>
        </w:trPr>
        <w:tc>
          <w:tcPr>
            <w:tcW w:type="dxa" w:w="2506"/>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유전독성</w:t>
            </w:r>
          </w:p>
          <w:p>
            <w:pPr>
              <w:jc w:val="center"/>
            </w:pPr>
            <w:r>
              <w:rPr>
                <w:rFonts w:ascii="Malgun Gothic" w:cs="Malgun Gothic" w:eastAsia="Malgun Gothic" w:hAnsi="Malgun Gothic"/>
                <w:b/>
                <w:bCs/>
                <w:i w:val="false"/>
                <w:iCs w:val="false"/>
                <w:color w:val="000000"/>
                <w:sz w:val="16"/>
                <w:szCs w:val="16"/>
              </w:rPr>
              <w:t xml:space="preserve">Genotoxicity</w:t>
            </w:r>
          </w:p>
        </w:tc>
        <w:tc>
          <w:tcPr>
            <w:tcW w:type="dxa" w:w="3855"/>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BIO-GNT-615 (복귀돌연변이 / reverse mutation)</w:t>
            </w:r>
          </w:p>
          <w:p>
            <w:pPr>
              <w:jc w:val="center"/>
            </w:pPr>
            <w:r>
              <w:rPr>
                <w:rFonts w:ascii="Malgun Gothic" w:cs="Malgun Gothic" w:eastAsia="Malgun Gothic" w:hAnsi="Malgun Gothic"/>
                <w:b w:val="false"/>
                <w:bCs w:val="false"/>
                <w:i w:val="false"/>
                <w:iCs w:val="false"/>
                <w:color w:val="000000"/>
                <w:sz w:val="16"/>
                <w:szCs w:val="16"/>
              </w:rPr>
              <w:t xml:space="preserve">BIO-GNT-616 (염색체이상 / chromosomal aberration)</w:t>
            </w:r>
          </w:p>
        </w:tc>
        <w:tc>
          <w:tcPr>
            <w:tcW w:type="dxa" w:w="3277"/>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비돌연변이성, 비염색체이상유발성</w:t>
            </w:r>
          </w:p>
          <w:p>
            <w:pPr>
              <w:jc w:val="center"/>
            </w:pPr>
            <w:r>
              <w:rPr>
                <w:rFonts w:ascii="Malgun Gothic" w:cs="Malgun Gothic" w:eastAsia="Malgun Gothic" w:hAnsi="Malgun Gothic"/>
                <w:b w:val="false"/>
                <w:bCs w:val="false"/>
                <w:i w:val="false"/>
                <w:iCs w:val="false"/>
                <w:color w:val="000000"/>
                <w:sz w:val="16"/>
                <w:szCs w:val="16"/>
              </w:rPr>
              <w:t xml:space="preserve">Non-mutagenic; non-clastogenic</w:t>
            </w:r>
          </w:p>
        </w:tc>
      </w:tr>
    </w:tbl>
    <w:p>
      <w:pPr>
        <w:spacing w:before="120"/>
      </w:pPr>
      <w:r>
        <w:rPr>
          <w:rFonts w:ascii="Malgun Gothic" w:cs="Malgun Gothic" w:eastAsia="Malgun Gothic" w:hAnsi="Malgun Gothic"/>
          <w:sz w:val="4"/>
          <w:szCs w:val="4"/>
        </w:rPr>
        <w:t xml:space="preserve"/>
      </w:r>
    </w:p>
    <w:p>
      <w:pPr>
        <w:spacing w:after="120" w:line="288"/>
      </w:pPr>
      <w:r>
        <w:rPr>
          <w:rFonts w:ascii="Malgun Gothic" w:cs="Malgun Gothic" w:eastAsia="Malgun Gothic" w:hAnsi="Malgun Gothic"/>
          <w:b w:val="false"/>
          <w:bCs w:val="false"/>
          <w:color w:val="000000"/>
          <w:sz w:val="20"/>
          <w:szCs w:val="20"/>
        </w:rPr>
        <w:t xml:space="preserve">세포독성 외의 독성 지표에서는 이상이 관찰되지 않았다. 특히 급성 전신독성과 28일 반복투여 시험에서 시험물질 관련 영향이 없어, 용출 물질이 전신 수준의 독성을 나타내지 않음을 뒷받침한다.</w:t>
      </w:r>
    </w:p>
    <w:p>
      <w:pPr>
        <w:spacing w:after="120" w:line="288"/>
      </w:pPr>
      <w:r>
        <w:rPr>
          <w:rFonts w:ascii="Malgun Gothic" w:cs="Malgun Gothic" w:eastAsia="Malgun Gothic" w:hAnsi="Malgun Gothic"/>
          <w:b w:val="false"/>
          <w:bCs w:val="false"/>
          <w:color w:val="333333"/>
          <w:sz w:val="18"/>
          <w:szCs w:val="18"/>
        </w:rPr>
        <w:t xml:space="preserve">No abnormalities were observed in toxicity endpoints other than cytotoxicity. In particular, the absence of test-item-related effects in the acute systemic and 28-day repeated-dose studies supports that the extractables do not cause systemic toxicity.</w:t>
      </w:r>
    </w:p>
    <w:p>
      <w:pPr>
        <w:pStyle w:val="Heading1"/>
      </w:pPr>
      <w:r>
        <w:rPr>
          <w:rFonts w:ascii="Malgun Gothic" w:cs="Malgun Gothic" w:eastAsia="Malgun Gothic" w:hAnsi="Malgun Gothic"/>
        </w:rPr>
        <w:t xml:space="preserve">4. MTT를 세포독성 평가 시험으로 설정한 근거  Rationale for Setting the MTT Assay as the Cytotoxicity Test</w:t>
      </w:r>
    </w:p>
    <w:p>
      <w:pPr>
        <w:spacing w:after="120" w:line="288"/>
      </w:pPr>
      <w:r>
        <w:rPr>
          <w:rFonts w:ascii="Malgun Gothic" w:cs="Malgun Gothic" w:eastAsia="Malgun Gothic" w:hAnsi="Malgun Gothic"/>
          <w:b w:val="false"/>
          <w:bCs w:val="false"/>
          <w:color w:val="000000"/>
          <w:sz w:val="20"/>
          <w:szCs w:val="20"/>
        </w:rPr>
        <w:t xml:space="preserve">2~3항의 결과를 바탕으로, S1-XB의 세포독성 평가 시험을 MTT 시험으로 설정한 근거는 다음과 같다.</w:t>
      </w:r>
    </w:p>
    <w:p>
      <w:pPr>
        <w:spacing w:after="120" w:line="288"/>
      </w:pPr>
      <w:r>
        <w:rPr>
          <w:rFonts w:ascii="Malgun Gothic" w:cs="Malgun Gothic" w:eastAsia="Malgun Gothic" w:hAnsi="Malgun Gothic"/>
          <w:b w:val="false"/>
          <w:bCs w:val="false"/>
          <w:color w:val="333333"/>
          <w:sz w:val="18"/>
          <w:szCs w:val="18"/>
        </w:rPr>
        <w:t xml:space="preserve">Based on the results in Sections 2 and 3, the rationale for setting the MTT assay as the cytotoxicity test for S1-XB is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근거</w:t>
            </w:r>
          </w:p>
          <w:p>
            <w:pPr>
              <w:jc w:val="center"/>
            </w:pPr>
            <w:r>
              <w:rPr>
                <w:rFonts w:ascii="Malgun Gothic" w:cs="Malgun Gothic" w:eastAsia="Malgun Gothic" w:hAnsi="Malgun Gothic"/>
                <w:b/>
                <w:bCs/>
                <w:i w:val="false"/>
                <w:iCs w:val="false"/>
                <w:color w:val="000000"/>
                <w:sz w:val="15"/>
                <w:szCs w:val="15"/>
              </w:rPr>
              <w:t xml:space="preserve">Rationale</w:t>
            </w:r>
          </w:p>
        </w:tc>
        <w:tc>
          <w:tcPr>
            <w:tcW w:type="dxa" w:w="7228"/>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내용</w:t>
            </w:r>
          </w:p>
          <w:p>
            <w:pPr>
              <w:jc w:val="center"/>
            </w:pPr>
            <w:r>
              <w:rPr>
                <w:rFonts w:ascii="Malgun Gothic" w:cs="Malgun Gothic" w:eastAsia="Malgun Gothic" w:hAnsi="Malgun Gothic"/>
                <w:b/>
                <w:bCs/>
                <w:i w:val="false"/>
                <w:iCs w:val="false"/>
                <w:color w:val="000000"/>
                <w:sz w:val="15"/>
                <w:szCs w:val="15"/>
              </w:rPr>
              <w:t xml:space="preserve">Content</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1) 표준 정량 시험법</w:t>
            </w:r>
          </w:p>
          <w:p>
            <w:pPr>
              <w:jc w:val="center"/>
            </w:pPr>
            <w:r>
              <w:rPr>
                <w:rFonts w:ascii="Malgun Gothic" w:cs="Malgun Gothic" w:eastAsia="Malgun Gothic" w:hAnsi="Malgun Gothic"/>
                <w:b/>
                <w:bCs/>
                <w:i w:val="false"/>
                <w:iCs w:val="false"/>
                <w:color w:val="000000"/>
                <w:sz w:val="16"/>
                <w:szCs w:val="16"/>
              </w:rPr>
              <w:t xml:space="preserve">Standard quantitative method</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MTT는 ISO 10993-5에 수록된 정량 시험법으로, CFA와 같이 대조 대비 70% 기준으로 판정한다(참고문헌 3).</w:t>
            </w:r>
          </w:p>
          <w:p>
            <w:pPr>
              <w:jc w:val="left"/>
            </w:pPr>
            <w:r>
              <w:rPr>
                <w:rFonts w:ascii="Malgun Gothic" w:cs="Malgun Gothic" w:eastAsia="Malgun Gothic" w:hAnsi="Malgun Gothic"/>
                <w:b w:val="false"/>
                <w:bCs w:val="false"/>
                <w:i w:val="false"/>
                <w:iCs w:val="false"/>
                <w:color w:val="000000"/>
                <w:sz w:val="16"/>
                <w:szCs w:val="16"/>
              </w:rPr>
              <w:t xml:space="preserve">The MTT assay is a quantitative method included in ISO 10993-5 and, like the CFA, is judged against a 70%-of-control criterion (Ref. 3).</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2) 정성평가와 일치</w:t>
            </w:r>
          </w:p>
          <w:p>
            <w:pPr>
              <w:jc w:val="center"/>
            </w:pPr>
            <w:r>
              <w:rPr>
                <w:rFonts w:ascii="Malgun Gothic" w:cs="Malgun Gothic" w:eastAsia="Malgun Gothic" w:hAnsi="Malgun Gothic"/>
                <w:b/>
                <w:bCs/>
                <w:i w:val="false"/>
                <w:iCs w:val="false"/>
                <w:color w:val="000000"/>
                <w:sz w:val="16"/>
                <w:szCs w:val="16"/>
              </w:rPr>
              <w:t xml:space="preserve">Consistent with the qualitative evaluation</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MTT(100% 용출액 88.29%)와 정성평가(Grade 0)는 서로 다른 종말점에서 일관되게 무독성을 나타냈다.</w:t>
            </w:r>
          </w:p>
          <w:p>
            <w:pPr>
              <w:jc w:val="left"/>
            </w:pPr>
            <w:r>
              <w:rPr>
                <w:rFonts w:ascii="Malgun Gothic" w:cs="Malgun Gothic" w:eastAsia="Malgun Gothic" w:hAnsi="Malgun Gothic"/>
                <w:b w:val="false"/>
                <w:bCs w:val="false"/>
                <w:i w:val="false"/>
                <w:iCs w:val="false"/>
                <w:color w:val="000000"/>
                <w:sz w:val="16"/>
                <w:szCs w:val="16"/>
              </w:rPr>
              <w:t xml:space="preserve">The MTT assay (88.29% at 100% extract) and the qualitative evaluation (Grade 0) consistently showed no cytotoxicity across different endpoints.</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3) 생체 내 결과와 일치</w:t>
            </w:r>
          </w:p>
          <w:p>
            <w:pPr>
              <w:jc w:val="center"/>
            </w:pPr>
            <w:r>
              <w:rPr>
                <w:rFonts w:ascii="Malgun Gothic" w:cs="Malgun Gothic" w:eastAsia="Malgun Gothic" w:hAnsi="Malgun Gothic"/>
                <w:b/>
                <w:bCs/>
                <w:i w:val="false"/>
                <w:iCs w:val="false"/>
                <w:color w:val="000000"/>
                <w:sz w:val="16"/>
                <w:szCs w:val="16"/>
              </w:rPr>
              <w:t xml:space="preserve">Consistent with in vivo results</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MTT 결과는 실제 사용 부위인 뼈 조직 이식시험 결과(괴사 없음, 무반응~최소 반응)와 일치한다. 반면 CFA의 콜로니 형성 억제는 조직 수준에서 재현되지 않았다.</w:t>
            </w:r>
          </w:p>
          <w:p>
            <w:pPr>
              <w:jc w:val="left"/>
            </w:pPr>
            <w:r>
              <w:rPr>
                <w:rFonts w:ascii="Malgun Gothic" w:cs="Malgun Gothic" w:eastAsia="Malgun Gothic" w:hAnsi="Malgun Gothic"/>
                <w:b w:val="false"/>
                <w:bCs w:val="false"/>
                <w:i w:val="false"/>
                <w:iCs w:val="false"/>
                <w:color w:val="000000"/>
                <w:sz w:val="16"/>
                <w:szCs w:val="16"/>
              </w:rPr>
              <w:t xml:space="preserve">The MTT result is consistent with the bone implantation studies at the site of actual use (no necrosis; no to minimal reaction), whereas the inhibition of colony formation in the CFA was not reproduced at the tissue level.</w:t>
            </w:r>
          </w:p>
        </w:tc>
      </w:tr>
      <w:tr>
        <w:trPr>
          <w:tblHeader w:val="false"/>
        </w:trPr>
        <w:tc>
          <w:tcPr>
            <w:tcW w:type="dxa" w:w="2410"/>
            <w:tcBorders>
              <w:top w:val="single" w:color="000000" w:sz="4"/>
              <w:left w:val="single" w:color="000000" w:sz="4"/>
              <w:bottom w:val="single" w:color="000000" w:sz="4"/>
              <w:right w:val="single" w:color="000000" w:sz="4"/>
            </w:tcBorders>
            <w:shd w:fill="F2F2F2"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4) 기존 평가와의 연속성</w:t>
            </w:r>
          </w:p>
          <w:p>
            <w:pPr>
              <w:jc w:val="center"/>
            </w:pPr>
            <w:r>
              <w:rPr>
                <w:rFonts w:ascii="Malgun Gothic" w:cs="Malgun Gothic" w:eastAsia="Malgun Gothic" w:hAnsi="Malgun Gothic"/>
                <w:b/>
                <w:bCs/>
                <w:i w:val="false"/>
                <w:iCs w:val="false"/>
                <w:color w:val="000000"/>
                <w:sz w:val="16"/>
                <w:szCs w:val="16"/>
              </w:rPr>
              <w:t xml:space="preserve">Continuity with the existing evaluation</w:t>
            </w:r>
          </w:p>
        </w:tc>
        <w:tc>
          <w:tcPr>
            <w:tcW w:type="dxa" w:w="722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CFA 수행 이전에 작성된 BER(2026.01.28)의 세포독성 평가는 MTT와 정성평가 결과에 근거하며, 이는 CC·TRA 및 기타 생물학적 안전성 시험 결과와도 부합한다.</w:t>
            </w:r>
          </w:p>
          <w:p>
            <w:pPr>
              <w:jc w:val="left"/>
            </w:pPr>
            <w:r>
              <w:rPr>
                <w:rFonts w:ascii="Malgun Gothic" w:cs="Malgun Gothic" w:eastAsia="Malgun Gothic" w:hAnsi="Malgun Gothic"/>
                <w:b w:val="false"/>
                <w:bCs w:val="false"/>
                <w:i w:val="false"/>
                <w:iCs w:val="false"/>
                <w:color w:val="000000"/>
                <w:sz w:val="16"/>
                <w:szCs w:val="16"/>
              </w:rPr>
              <w:t xml:space="preserve">The cytotoxicity evaluation in the BER (28 Jan 2026), prepared before the CFA, was based on the MTT and qualitative results, which are also consistent with the CC/TRA and other biological safety studies.</w:t>
            </w:r>
          </w:p>
        </w:tc>
      </w:tr>
    </w:tbl>
    <w:p>
      <w:pPr>
        <w:spacing w:before="120"/>
      </w:pPr>
      <w:r>
        <w:rPr>
          <w:rFonts w:ascii="Malgun Gothic" w:cs="Malgun Gothic" w:eastAsia="Malgun Gothic" w:hAnsi="Malgun Gothic"/>
          <w:sz w:val="4"/>
          <w:szCs w:val="4"/>
        </w:rPr>
        <w:t xml:space="preserve"/>
      </w:r>
    </w:p>
    <w:p>
      <w:pPr>
        <w:spacing w:after="120" w:line="288"/>
      </w:pPr>
      <w:r>
        <w:rPr>
          <w:rFonts w:ascii="Malgun Gothic" w:cs="Malgun Gothic" w:eastAsia="Malgun Gothic" w:hAnsi="Malgun Gothic"/>
          <w:b w:val="false"/>
          <w:bCs w:val="false"/>
          <w:color w:val="000000"/>
          <w:sz w:val="20"/>
          <w:szCs w:val="20"/>
        </w:rPr>
        <w:t xml:space="preserve">따라서 MTT는 S1-XB의 세포독성 위험을 생체 내 결과와 일관되게 반영하는 시험법이다. CFA 결과는 해당 시험 조건에서의 in vitro 소견으로 함께 제출한다.</w:t>
      </w:r>
    </w:p>
    <w:p>
      <w:pPr>
        <w:spacing w:after="120" w:line="288"/>
      </w:pPr>
      <w:r>
        <w:rPr>
          <w:rFonts w:ascii="Malgun Gothic" w:cs="Malgun Gothic" w:eastAsia="Malgun Gothic" w:hAnsi="Malgun Gothic"/>
          <w:b w:val="false"/>
          <w:bCs w:val="false"/>
          <w:color w:val="333333"/>
          <w:sz w:val="18"/>
          <w:szCs w:val="18"/>
        </w:rPr>
        <w:t xml:space="preserve">The MTT assay therefore reflects the cytotoxic risk of S1-XB consistently with the in vivo results. The CFA result is submitted together as an in vitro finding under its test conditions.</w:t>
      </w:r>
    </w:p>
    <w:p>
      <w:pPr>
        <w:pStyle w:val="Heading1"/>
      </w:pPr>
      <w:r>
        <w:rPr>
          <w:rFonts w:ascii="Malgun Gothic" w:cs="Malgun Gothic" w:eastAsia="Malgun Gothic" w:hAnsi="Malgun Gothic"/>
        </w:rPr>
        <w:t xml:space="preserve">5. 결론  Conclusion</w:t>
      </w:r>
    </w:p>
    <w:p>
      <w:pPr>
        <w:spacing w:after="120" w:line="288"/>
      </w:pPr>
      <w:r>
        <w:rPr>
          <w:rFonts w:ascii="Malgun Gothic" w:cs="Malgun Gothic" w:eastAsia="Malgun Gothic" w:hAnsi="Malgun Gothic"/>
          <w:b w:val="false"/>
          <w:bCs w:val="false"/>
          <w:color w:val="000000"/>
          <w:sz w:val="20"/>
          <w:szCs w:val="20"/>
        </w:rPr>
        <w:t xml:space="preserve">CFA에서는 100%와 50% 용출액에서 콜로니 형성이 관찰되지 않았으며, 본 문서는 이를 해당 시험 조건에서의 in vitro 소견으로 인정한다. 그러나</w:t>
      </w:r>
    </w:p>
    <w:p>
      <w:pPr>
        <w:spacing w:after="120" w:line="288"/>
      </w:pPr>
      <w:r>
        <w:rPr>
          <w:rFonts w:ascii="Malgun Gothic" w:cs="Malgun Gothic" w:eastAsia="Malgun Gothic" w:hAnsi="Malgun Gothic"/>
          <w:b w:val="false"/>
          <w:bCs w:val="false"/>
          <w:color w:val="333333"/>
          <w:sz w:val="18"/>
          <w:szCs w:val="18"/>
        </w:rPr>
        <w:t xml:space="preserve">In the CFA, no colony formation was observed at 100% and 50% extract, and this report accepts this as an in vitro finding under the test conditions. However,</w:t>
      </w:r>
    </w:p>
    <w:p>
      <w:pPr>
        <w:spacing w:after="120" w:line="288"/>
      </w:pPr>
      <w:r>
        <w:rPr>
          <w:rFonts w:ascii="Malgun Gothic" w:cs="Malgun Gothic" w:eastAsia="Malgun Gothic" w:hAnsi="Malgun Gothic"/>
          <w:b w:val="false"/>
          <w:bCs w:val="false"/>
          <w:color w:val="000000"/>
          <w:sz w:val="20"/>
          <w:szCs w:val="20"/>
        </w:rPr>
        <w:t xml:space="preserve">(1) 동일 제품의 MTT와 정성평가에서는 세포독성이 관찰되지 않았고,</w:t>
      </w:r>
    </w:p>
    <w:p>
      <w:pPr>
        <w:spacing w:after="120" w:line="288"/>
      </w:pPr>
      <w:r>
        <w:rPr>
          <w:rFonts w:ascii="Malgun Gothic" w:cs="Malgun Gothic" w:eastAsia="Malgun Gothic" w:hAnsi="Malgun Gothic"/>
          <w:b w:val="false"/>
          <w:bCs w:val="false"/>
          <w:color w:val="333333"/>
          <w:sz w:val="18"/>
          <w:szCs w:val="18"/>
        </w:rPr>
        <w:t xml:space="preserve">(1) no cytotoxicity was observed in the MTT assay and qualitative evaluation of the same device;</w:t>
      </w:r>
    </w:p>
    <w:p>
      <w:pPr>
        <w:spacing w:after="120" w:line="288"/>
      </w:pPr>
      <w:r>
        <w:rPr>
          <w:rFonts w:ascii="Malgun Gothic" w:cs="Malgun Gothic" w:eastAsia="Malgun Gothic" w:hAnsi="Malgun Gothic"/>
          <w:b w:val="false"/>
          <w:bCs w:val="false"/>
          <w:color w:val="000000"/>
          <w:sz w:val="20"/>
          <w:szCs w:val="20"/>
        </w:rPr>
        <w:t xml:space="preserve">(2) 임상 사용 부위와 같은 뼈 조직에 4·8·13주 이식한 시험에서 괴사가 없었고 대조 기기 대비 무반응 또는 최소 반응이었으며,</w:t>
      </w:r>
    </w:p>
    <w:p>
      <w:pPr>
        <w:spacing w:after="120" w:line="288"/>
      </w:pPr>
      <w:r>
        <w:rPr>
          <w:rFonts w:ascii="Malgun Gothic" w:cs="Malgun Gothic" w:eastAsia="Malgun Gothic" w:hAnsi="Malgun Gothic"/>
          <w:b w:val="false"/>
          <w:bCs w:val="false"/>
          <w:color w:val="333333"/>
          <w:sz w:val="18"/>
          <w:szCs w:val="18"/>
        </w:rPr>
        <w:t xml:space="preserve">(2) no necrosis was observed in the 4-, 8- and 13-week bone implantation studies, with no or minimal reaction relative to the control device;</w:t>
      </w:r>
    </w:p>
    <w:p>
      <w:pPr>
        <w:spacing w:after="120" w:line="288"/>
      </w:pPr>
      <w:r>
        <w:rPr>
          <w:rFonts w:ascii="Malgun Gothic" w:cs="Malgun Gothic" w:eastAsia="Malgun Gothic" w:hAnsi="Malgun Gothic"/>
          <w:b w:val="false"/>
          <w:bCs w:val="false"/>
          <w:color w:val="000000"/>
          <w:sz w:val="20"/>
          <w:szCs w:val="20"/>
        </w:rPr>
        <w:t xml:space="preserve">(3) 최대 표시 모델(P300)을 가정한 노출에서 용출 물질의 성인 MoS가 1을 초과하고 누적 노출량이 TSL 미만이었으며,</w:t>
      </w:r>
    </w:p>
    <w:p>
      <w:pPr>
        <w:spacing w:after="120" w:line="288"/>
      </w:pPr>
      <w:r>
        <w:rPr>
          <w:rFonts w:ascii="Malgun Gothic" w:cs="Malgun Gothic" w:eastAsia="Malgun Gothic" w:hAnsi="Malgun Gothic"/>
          <w:b w:val="false"/>
          <w:bCs w:val="false"/>
          <w:color w:val="333333"/>
          <w:sz w:val="18"/>
          <w:szCs w:val="18"/>
        </w:rPr>
        <w:t xml:space="preserve">(3) under exposure assuming the maximum labeled model (P300), the adult MoS exceeded 1 and the cumulative exposure was below the TSL; and</w:t>
      </w:r>
    </w:p>
    <w:p>
      <w:pPr>
        <w:spacing w:after="120" w:line="288"/>
      </w:pPr>
      <w:r>
        <w:rPr>
          <w:rFonts w:ascii="Malgun Gothic" w:cs="Malgun Gothic" w:eastAsia="Malgun Gothic" w:hAnsi="Malgun Gothic"/>
          <w:b w:val="false"/>
          <w:bCs w:val="false"/>
          <w:color w:val="000000"/>
          <w:sz w:val="20"/>
          <w:szCs w:val="20"/>
        </w:rPr>
        <w:t xml:space="preserve">(4) 감작성, 자극성, 전신독성, 발열성, 유전독성 시험에서 이상이 없었다.</w:t>
      </w:r>
    </w:p>
    <w:p>
      <w:pPr>
        <w:spacing w:after="120" w:line="288"/>
      </w:pPr>
      <w:r>
        <w:rPr>
          <w:rFonts w:ascii="Malgun Gothic" w:cs="Malgun Gothic" w:eastAsia="Malgun Gothic" w:hAnsi="Malgun Gothic"/>
          <w:b w:val="false"/>
          <w:bCs w:val="false"/>
          <w:color w:val="333333"/>
          <w:sz w:val="18"/>
          <w:szCs w:val="18"/>
        </w:rPr>
        <w:t xml:space="preserve">(4) no abnormalities were observed in the sensitization, irritation, systemic toxicity, pyrogenicity and genotoxicity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bCs/>
                <w:i w:val="false"/>
                <w:iCs w:val="false"/>
                <w:color w:val="000000"/>
                <w:sz w:val="16"/>
                <w:szCs w:val="16"/>
              </w:rPr>
              <w:t xml:space="preserve">결론: CFA에서 관찰된 소견은 인정하지만, 전체 안전성 자료를 종합할 때 S1-XB의 임상 사용에서 유의한 세포독성 위험은 확인되지 않았다. 따라서 생체 내 결과와 일치하는 MTT 시험을 S1-XB의 세포독성 평가 시험으로 설정하는 것은 타당하다.</w:t>
            </w:r>
          </w:p>
          <w:p>
            <w:pPr>
              <w:jc w:val="left"/>
            </w:pPr>
            <w:r>
              <w:rPr>
                <w:rFonts w:ascii="Malgun Gothic" w:cs="Malgun Gothic" w:eastAsia="Malgun Gothic" w:hAnsi="Malgun Gothic"/>
                <w:b/>
                <w:bCs/>
                <w:i w:val="false"/>
                <w:iCs w:val="false"/>
                <w:color w:val="000000"/>
                <w:sz w:val="16"/>
                <w:szCs w:val="16"/>
              </w:rPr>
              <w:t xml:space="preserve">Conclusion: While the finding in the CFA is acknowledged, the totality of the safety data indicates that no clinically significant cytotoxic risk was identified for the clinical use of S1-XB. Setting the MTT assay, which is consistent with the in vivo results, as the cytotoxicity test for S1-XB is therefore justified.</w:t>
            </w:r>
          </w:p>
        </w:tc>
      </w:tr>
    </w:tbl>
    <w:p>
      <w:pPr>
        <w:spacing w:before="120"/>
      </w:pPr>
      <w:r>
        <w:rPr>
          <w:rFonts w:ascii="Malgun Gothic" w:cs="Malgun Gothic" w:eastAsia="Malgun Gothic" w:hAnsi="Malgun Gothic"/>
          <w:sz w:val="4"/>
          <w:szCs w:val="4"/>
        </w:rPr>
        <w:t xml:space="preserve"/>
      </w:r>
    </w:p>
    <w:p>
      <w:pPr>
        <w:pStyle w:val="Heading1"/>
      </w:pPr>
      <w:r>
        <w:rPr>
          <w:rFonts w:ascii="Malgun Gothic" w:cs="Malgun Gothic" w:eastAsia="Malgun Gothic" w:hAnsi="Malgun Gothic"/>
        </w:rPr>
        <w:t xml:space="preserve">6. 참고문헌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tblHeader/>
        </w:trPr>
        <w:tc>
          <w:tcPr>
            <w:tcW w:type="dxa" w:w="578"/>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No.</w:t>
            </w:r>
          </w:p>
        </w:tc>
        <w:tc>
          <w:tcPr>
            <w:tcW w:type="dxa" w:w="9060"/>
            <w:tcBorders>
              <w:top w:val="single" w:color="000000" w:sz="4"/>
              <w:left w:val="single" w:color="000000" w:sz="4"/>
              <w:bottom w:val="single" w:color="000000" w:sz="4"/>
              <w:right w:val="single" w:color="000000" w:sz="4"/>
            </w:tcBorders>
            <w:shd w:fill="92D14F" w:val="clear"/>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참고문헌</w:t>
            </w:r>
          </w:p>
          <w:p>
            <w:pPr>
              <w:jc w:val="center"/>
            </w:pPr>
            <w:r>
              <w:rPr>
                <w:rFonts w:ascii="Malgun Gothic" w:cs="Malgun Gothic" w:eastAsia="Malgun Gothic" w:hAnsi="Malgun Gothic"/>
                <w:b/>
                <w:bCs/>
                <w:i w:val="false"/>
                <w:iCs w:val="false"/>
                <w:color w:val="000000"/>
                <w:sz w:val="15"/>
                <w:szCs w:val="15"/>
              </w:rPr>
              <w:t xml:space="preserve">Reference</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1</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KTR. S1에 대한 세포독성시험(용출물 시험) 최종보고서, MGK-2025-001309 (2026).</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2</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Bioneeds India. MTT Cytotoxicity Test of S1-XB using L-929 Cell Line, BIO-GNT 816 (2020); In vitro Cytotoxicity Study of S1-XB by Elution Method, BIO-GNT 614 (2020).</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3</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ISO 10993-1:2025; ISO 10993-5:2009; ISO 10993-6:2016; ISO 10993-17:2023 + Amd 1:2025; ISO 10993-18:2020 + Amd 1:2022.</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4</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Liu X, et al. A comparison of in vitro cytotoxicity assays in medical device regulatory studies. Regul Toxicol Pharmacol 97, 24–32 (2018).</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5</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Adgyl Lifesciences. Biological Evaluation Report, S1-XB, AD-M0221 (2026).</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6</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Adgyl Lifesciences. Toxicological Risk Assessment Report, S1-XB, AD-M0220 (2026).</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7</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Eurofins Biopharma Product Testing India. Chemical Characterization (Extractable) Study Report for S1-XB, EBPT/ELS/25/SR/006/00 (2025).</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8</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GLR Laboratories. Bone Implantation (04-Weeks) Study of S1-XB, 1177/001 (2023); Bioneeds India. 8 Weeks Bone Implantation Test of S1-XB, BIO-CTX 203 (2020); 13 Weeks Bone Implantation Test of S1-XB, BIO-CTX 204 (2020).</w:t>
            </w:r>
          </w:p>
        </w:tc>
      </w:tr>
      <w:tr>
        <w:trPr>
          <w:tblHeader w:val="false"/>
        </w:trPr>
        <w:tc>
          <w:tcPr>
            <w:tcW w:type="dxa" w:w="578"/>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val="false"/>
                <w:bCs w:val="false"/>
                <w:i w:val="false"/>
                <w:iCs w:val="false"/>
                <w:color w:val="000000"/>
                <w:sz w:val="16"/>
                <w:szCs w:val="16"/>
              </w:rPr>
              <w:t xml:space="preserve">9</w:t>
            </w:r>
          </w:p>
        </w:tc>
        <w:tc>
          <w:tcPr>
            <w:tcW w:type="dxa" w:w="90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left"/>
            </w:pPr>
            <w:r>
              <w:rPr>
                <w:rFonts w:ascii="Malgun Gothic" w:cs="Malgun Gothic" w:eastAsia="Malgun Gothic" w:hAnsi="Malgun Gothic"/>
                <w:b w:val="false"/>
                <w:bCs w:val="false"/>
                <w:i w:val="false"/>
                <w:iCs w:val="false"/>
                <w:color w:val="000000"/>
                <w:sz w:val="16"/>
                <w:szCs w:val="16"/>
              </w:rPr>
              <w:t xml:space="preserve">Babayiğit O, et al. Effect of maxillary sinus anatomy on bone gain after lateral window sinus floor elevation: a case-control study. Int J Oral Maxillofac Implants 38(2), 338–346 (2023).</w:t>
            </w:r>
          </w:p>
        </w:tc>
      </w:tr>
    </w:tbl>
    <w:p>
      <w:pPr>
        <w:spacing w:before="120"/>
      </w:pPr>
      <w:r>
        <w:rPr>
          <w:rFonts w:ascii="Malgun Gothic" w:cs="Malgun Gothic" w:eastAsia="Malgun Gothic" w:hAnsi="Malgun Gothic"/>
          <w:sz w:val="4"/>
          <w:szCs w:val="4"/>
        </w:rPr>
        <w:t xml:space="preserve"/>
      </w:r>
    </w:p>
    <w:sectPr>
      <w:headerReference w:type="default" r:id="rId7"/>
      <w:footerReference w:type="default" r:id="rId8"/>
      <w:pgSz w:w="11906" w:h="16838" w:orient="portrait"/>
      <w:pgMar w:top="1400"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638"/>
      </w:tabs>
    </w:pPr>
    <w:r>
      <w:rPr>
        <w:rFonts w:ascii="Malgun Gothic" w:cs="Malgun Gothic" w:eastAsia="Malgun Gothic" w:hAnsi="Malgun Gothic"/>
        <w:sz w:val="16"/>
        <w:szCs w:val="16"/>
      </w:rPr>
      <w:t xml:space="preserve">㈜메드파크 MedPark Co,. Ltd.</w:t>
    </w:r>
    <w:r>
      <w:rPr>
        <w:rFonts w:ascii="Malgun Gothic" w:cs="Malgun Gothic" w:eastAsia="Malgun Gothic" w:hAnsi="Malgun Gothic"/>
        <w:sz w:val="16"/>
        <w:szCs w:val="16"/>
      </w:rPr>
      <w:t xml:space="preserve">	A4(210×297)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269"/>
      <w:gridCol w:w="1269"/>
    </w:tblGrid>
    <w:tr>
      <w:tc>
        <w:tcPr>
          <w:tcW w:type="dxa" w:w="1900"/>
          <w:vMerge w:val="restart"/>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drawing>
              <wp:inline distT="0" distB="0" distL="0" distR="0">
                <wp:extent cx="9525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52425"/>
                        </a:xfrm>
                        <a:prstGeom prst="rect">
                          <a:avLst/>
                        </a:prstGeom>
                      </pic:spPr>
                    </pic:pic>
                  </a:graphicData>
                </a:graphic>
              </wp:inline>
            </w:drawing>
          </w:r>
        </w:p>
      </w:tc>
      <w:tc>
        <w:tcPr>
          <w:tcW w:type="dxa" w:w="5200"/>
          <w:vMerge w:val="restart"/>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Malgun Gothic" w:cs="Malgun Gothic" w:eastAsia="Malgun Gothic" w:hAnsi="Malgun Gothic"/>
              <w:b/>
              <w:bCs/>
              <w:sz w:val="20"/>
              <w:szCs w:val="20"/>
            </w:rPr>
            <w:t xml:space="preserve">S1-XB 세포독성 평가 방법의 타당성 근거서</w:t>
          </w:r>
        </w:p>
      </w:tc>
      <w:tc>
        <w:tcPr>
          <w:tcW w:type="dxa" w:w="12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문서번호</w:t>
          </w:r>
        </w:p>
        <w:p>
          <w:pPr>
            <w:jc w:val="center"/>
          </w:pPr>
          <w:r>
            <w:rPr>
              <w:rFonts w:ascii="Malgun Gothic" w:cs="Malgun Gothic" w:eastAsia="Malgun Gothic" w:hAnsi="Malgun Gothic"/>
              <w:b/>
              <w:bCs/>
              <w:i w:val="false"/>
              <w:iCs w:val="false"/>
              <w:color w:val="000000"/>
              <w:sz w:val="15"/>
              <w:szCs w:val="15"/>
            </w:rPr>
            <w:t xml:space="preserve">Doc. No.</w:t>
          </w:r>
        </w:p>
      </w:tc>
      <w:tc>
        <w:tcPr>
          <w:tcW w:type="dxa" w:w="12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5"/>
              <w:szCs w:val="15"/>
            </w:rPr>
            <w:t xml:space="preserve">쪽</w:t>
          </w:r>
        </w:p>
        <w:p>
          <w:pPr>
            <w:jc w:val="center"/>
          </w:pPr>
          <w:r>
            <w:rPr>
              <w:rFonts w:ascii="Malgun Gothic" w:cs="Malgun Gothic" w:eastAsia="Malgun Gothic" w:hAnsi="Malgun Gothic"/>
              <w:b/>
              <w:bCs/>
              <w:i w:val="false"/>
              <w:iCs w:val="false"/>
              <w:color w:val="000000"/>
              <w:sz w:val="15"/>
              <w:szCs w:val="15"/>
            </w:rPr>
            <w:t xml:space="preserve">Page</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269"/>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jc w:val="center"/>
          </w:pPr>
          <w:r>
            <w:rPr>
              <w:rFonts w:ascii="Malgun Gothic" w:cs="Malgun Gothic" w:eastAsia="Malgun Gothic" w:hAnsi="Malgun Gothic"/>
              <w:b/>
              <w:bCs/>
              <w:i w:val="false"/>
              <w:iCs w:val="false"/>
              <w:color w:val="000000"/>
              <w:sz w:val="16"/>
              <w:szCs w:val="16"/>
            </w:rPr>
            <w:t xml:space="preserve"/>
          </w:r>
        </w:p>
      </w:tc>
      <w:tc>
        <w:tcPr>
          <w:tcW w:type="dxa" w:w="12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Malgun Gothic" w:cs="Malgun Gothic" w:eastAsia="Malgun Gothic" w:hAnsi="Malgun Gothic"/>
              <w:b/>
              <w:bCs/>
              <w:sz w:val="16"/>
              <w:szCs w:val="16"/>
            </w:rPr>
            <w:fldChar w:fldCharType="begin"/>
            <w:instrText xml:space="preserve">PAGE</w:instrText>
            <w:fldChar w:fldCharType="separate"/>
            <w:fldChar w:fldCharType="end"/>
          </w:r>
          <w:r>
            <w:rPr>
              <w:rFonts w:ascii="Malgun Gothic" w:cs="Malgun Gothic" w:eastAsia="Malgun Gothic" w:hAnsi="Malgun Gothic"/>
              <w:b/>
              <w:bCs/>
              <w:sz w:val="16"/>
              <w:szCs w:val="16"/>
            </w:rPr>
            <w:t xml:space="preserve"> / </w:t>
          </w:r>
          <w:r>
            <w:rPr>
              <w:rFonts w:ascii="Malgun Gothic" w:cs="Malgun Gothic" w:eastAsia="Malgun Gothic" w:hAnsi="Malgun Gothic"/>
              <w:b/>
              <w:bCs/>
              <w:sz w:val="16"/>
              <w:szCs w:val="16"/>
            </w:rPr>
            <w:fldChar w:fldCharType="begin"/>
            <w:instrText xml:space="preserve">NUMPAGES</w:instrText>
            <w:fldChar w:fldCharType="separate"/>
            <w:fldChar w:fldCharType="end"/>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0AD47" w:sz="6" w:space="2"/>
      </w:pBdr>
      <w:spacing w:after="140" w:before="240"/>
      <w:outlineLvl w:val="0"/>
    </w:pPr>
    <w:rPr>
      <w:rFonts w:ascii="Malgun Gothic" w:cs="Malgun Gothic" w:eastAsia="Malgun Gothic" w:hAnsi="Malgun Gothic"/>
      <w:b/>
      <w:bCs/>
      <w:color w:val="000000"/>
      <w:sz w:val="28"/>
      <w:szCs w:val="28"/>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4E7C2F"/>
      <w:sz w:val="23"/>
      <w:szCs w:val="23"/>
    </w:rPr>
  </w:style>
  <w:style w:type="paragraph" w:styleId="Heading3">
    <w:name w:val="Heading 3"/>
    <w:basedOn w:val="Normal"/>
    <w:next w:val="Normal"/>
    <w:qFormat/>
    <w:pPr>
      <w:spacing w:after="80" w:before="160"/>
      <w:outlineLvl w:val="2"/>
    </w:pPr>
    <w:rPr>
      <w:rFonts w:ascii="Malgun Gothic" w:cs="Malgun Gothic" w:eastAsia="Malgun Gothic" w:hAnsi="Malgun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c38a70140c5da3458fbdb244a1204d840996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2026-10-13T07:44:00.596Z</dcterms:created>
  <dcterms:modified xsi:type="dcterms:W3CDTF">2026-10-13T07:44:00.596Z</dcterms:modified>
</cp:coreProperties>
</file>

<file path=docProps/custom.xml><?xml version="1.0" encoding="utf-8"?>
<Properties xmlns="http://schemas.openxmlformats.org/officeDocument/2006/custom-properties" xmlns:vt="http://schemas.openxmlformats.org/officeDocument/2006/docPropsVTypes"/>
</file>