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54020D" w14:textId="257ED987" w:rsidR="00D81DCA" w:rsidRDefault="00D81DCA">
      <w:r>
        <w:t xml:space="preserve">I am creating a Python app via </w:t>
      </w:r>
      <w:proofErr w:type="spellStart"/>
      <w:r>
        <w:t>Streamlit</w:t>
      </w:r>
      <w:proofErr w:type="spellEnd"/>
      <w:r>
        <w:t xml:space="preserve">. The app will be used to do systems engineering for data center installations that are co-located with various other technologies like greenhouses, wastewater treatment, district heating, food processing, etc. Here is the </w:t>
      </w:r>
      <w:proofErr w:type="gramStart"/>
      <w:r>
        <w:t>high level</w:t>
      </w:r>
      <w:proofErr w:type="gramEnd"/>
      <w:r>
        <w:t xml:space="preserve"> workflow of the app.</w:t>
      </w:r>
    </w:p>
    <w:p w14:paraId="1AD52400" w14:textId="01AF9648" w:rsidR="00D81DCA" w:rsidRDefault="00D81DCA">
      <w:r>
        <w:t>Step 1: Create a new site</w:t>
      </w:r>
    </w:p>
    <w:p w14:paraId="4B355420" w14:textId="4D5DE09E" w:rsidR="00D81DCA" w:rsidRDefault="00D81DCA" w:rsidP="00D81DCA">
      <w:pPr>
        <w:pStyle w:val="ListParagraph"/>
        <w:numPr>
          <w:ilvl w:val="0"/>
          <w:numId w:val="1"/>
        </w:numPr>
      </w:pPr>
      <w:r>
        <w:t xml:space="preserve">Visualize the land available for data center construction by pulling in a greyscale map of a location based on a long-latitude input or a street address. </w:t>
      </w:r>
    </w:p>
    <w:p w14:paraId="420DB0CD" w14:textId="5A0CDD77" w:rsidR="00D81DCA" w:rsidRDefault="00D81DCA" w:rsidP="00D81DCA">
      <w:pPr>
        <w:pStyle w:val="ListParagraph"/>
        <w:numPr>
          <w:ilvl w:val="0"/>
          <w:numId w:val="1"/>
        </w:numPr>
      </w:pPr>
      <w:r>
        <w:t xml:space="preserve">Specify the boundary of the property that is available. This should be done by letting the user draw the boundary on the map with a draw tool, such as a polyline with angle notes and straight lines only. </w:t>
      </w:r>
    </w:p>
    <w:p w14:paraId="0953D6B1" w14:textId="77777777" w:rsidR="00D81DCA" w:rsidRDefault="00D81DCA" w:rsidP="00D81DCA">
      <w:pPr>
        <w:pStyle w:val="ListParagraph"/>
        <w:numPr>
          <w:ilvl w:val="0"/>
          <w:numId w:val="1"/>
        </w:numPr>
      </w:pPr>
      <w:r>
        <w:t>Input the details of the datacenter. This should be done from a saved list of data center types or by creating a new data center type. Each datacenter type needs to have the following inputs:</w:t>
      </w:r>
    </w:p>
    <w:p w14:paraId="315C2A3F" w14:textId="77777777" w:rsidR="00D81DCA" w:rsidRDefault="00D81DCA" w:rsidP="00D81DCA">
      <w:pPr>
        <w:pStyle w:val="ListParagraph"/>
        <w:numPr>
          <w:ilvl w:val="1"/>
          <w:numId w:val="1"/>
        </w:numPr>
      </w:pPr>
      <w:r>
        <w:t>Name of datacenter type. This should just be a string input used to save the type.</w:t>
      </w:r>
    </w:p>
    <w:p w14:paraId="37CD921F" w14:textId="495127D6" w:rsidR="00D81DCA" w:rsidRDefault="00D81DCA" w:rsidP="00D81DCA">
      <w:pPr>
        <w:pStyle w:val="ListParagraph"/>
        <w:numPr>
          <w:ilvl w:val="1"/>
          <w:numId w:val="1"/>
        </w:numPr>
      </w:pPr>
      <w:r>
        <w:t>Cooling type (dry cooled, evaporative cooling radio button, default is dry cooled)</w:t>
      </w:r>
    </w:p>
    <w:p w14:paraId="646B83EE" w14:textId="5FFA8CF1" w:rsidR="00D81DCA" w:rsidRDefault="00D81DCA" w:rsidP="00D81DCA">
      <w:pPr>
        <w:pStyle w:val="ListParagraph"/>
        <w:numPr>
          <w:ilvl w:val="1"/>
          <w:numId w:val="1"/>
        </w:numPr>
      </w:pPr>
      <w:r>
        <w:t xml:space="preserve">Water loop conditions (Supply temp, </w:t>
      </w:r>
      <w:proofErr w:type="gramStart"/>
      <w:r>
        <w:t>Return</w:t>
      </w:r>
      <w:proofErr w:type="gramEnd"/>
      <w:r>
        <w:t xml:space="preserve"> temp both input with sliders from 5°C up to 80°C, default supply is 40C and return in 50C)</w:t>
      </w:r>
    </w:p>
    <w:p w14:paraId="0BB1250B" w14:textId="42E261A6" w:rsidR="00D81DCA" w:rsidRDefault="00D81DCA" w:rsidP="00D81DCA">
      <w:pPr>
        <w:pStyle w:val="ListParagraph"/>
        <w:numPr>
          <w:ilvl w:val="1"/>
          <w:numId w:val="1"/>
        </w:numPr>
      </w:pPr>
      <w:r>
        <w:t>Rack power density (slider between 5 and 300kW/rack, default is 50kW)</w:t>
      </w:r>
    </w:p>
    <w:p w14:paraId="60D1755D" w14:textId="332B9B02" w:rsidR="00D81DCA" w:rsidRDefault="00D81DCA" w:rsidP="00D81DCA">
      <w:pPr>
        <w:pStyle w:val="ListParagraph"/>
        <w:numPr>
          <w:ilvl w:val="1"/>
          <w:numId w:val="1"/>
        </w:numPr>
      </w:pPr>
      <w:r>
        <w:t>White space ratio (should be a slider between 0-100%, default is 65%)</w:t>
      </w:r>
    </w:p>
    <w:p w14:paraId="0727DAF2" w14:textId="733F9710" w:rsidR="00D81DCA" w:rsidRDefault="00D81DCA" w:rsidP="00D81DCA">
      <w:pPr>
        <w:pStyle w:val="ListParagraph"/>
        <w:numPr>
          <w:ilvl w:val="1"/>
          <w:numId w:val="1"/>
        </w:numPr>
      </w:pPr>
      <w:r>
        <w:t>Redundancy design X*N+Y where X and Y are inputs via sliders. (X range is 1-3, default is 1, and Y range is 1-10, default is 1.)</w:t>
      </w:r>
    </w:p>
    <w:p w14:paraId="43E282A8" w14:textId="28853DEF" w:rsidR="00D81DCA" w:rsidRDefault="00D81DCA" w:rsidP="00D81DCA">
      <w:pPr>
        <w:pStyle w:val="ListParagraph"/>
        <w:numPr>
          <w:ilvl w:val="1"/>
          <w:numId w:val="1"/>
        </w:numPr>
      </w:pPr>
      <w:r>
        <w:t xml:space="preserve">UPS area </w:t>
      </w:r>
      <w:proofErr w:type="gramStart"/>
      <w:r>
        <w:t>-  1</w:t>
      </w:r>
      <w:proofErr w:type="gramEnd"/>
      <w:r>
        <w:t>sqft/kW of IT default, slider from 0-4</w:t>
      </w:r>
    </w:p>
    <w:p w14:paraId="63BB52DA" w14:textId="11E501AC" w:rsidR="00D81DCA" w:rsidRDefault="00D81DCA" w:rsidP="00D81DCA">
      <w:pPr>
        <w:pStyle w:val="ListParagraph"/>
        <w:numPr>
          <w:ilvl w:val="1"/>
          <w:numId w:val="1"/>
        </w:numPr>
      </w:pPr>
      <w:r>
        <w:t>Generators area – 1.5sqft/kW of IT default, slider from 0-6</w:t>
      </w:r>
    </w:p>
    <w:p w14:paraId="6F344532" w14:textId="5D154BC5" w:rsidR="00D81DCA" w:rsidRDefault="00D81DCA" w:rsidP="00D81DCA">
      <w:pPr>
        <w:pStyle w:val="ListParagraph"/>
        <w:numPr>
          <w:ilvl w:val="1"/>
          <w:numId w:val="1"/>
        </w:numPr>
      </w:pPr>
      <w:r>
        <w:t>Switchgear area – 0.5sqft/kW of IT</w:t>
      </w:r>
      <w:r w:rsidRPr="00D81DCA">
        <w:t xml:space="preserve"> </w:t>
      </w:r>
      <w:r>
        <w:t>default, slider from 0-2</w:t>
      </w:r>
    </w:p>
    <w:p w14:paraId="12611480" w14:textId="73C47DA0" w:rsidR="00D81DCA" w:rsidRDefault="00D81DCA" w:rsidP="00D81DCA">
      <w:pPr>
        <w:ind w:left="720"/>
      </w:pPr>
      <w:r>
        <w:t xml:space="preserve">After the data center type is chosen (or saved if it is a new type), the overall IT load will also need to be input in MW to create the specific datacenter being modeled in this run. For now, we will assume constant IT load at the max. Future edits will allow for transient hourly IT </w:t>
      </w:r>
      <w:proofErr w:type="gramStart"/>
      <w:r>
        <w:t>load</w:t>
      </w:r>
      <w:proofErr w:type="gramEnd"/>
      <w:r>
        <w:t xml:space="preserve"> so we need to create a hourly IT load at this point and make it constant at the max IT load. This is important because the sizing calcs are based on peak IT, but the performance calcs are based on hourly IT. </w:t>
      </w:r>
    </w:p>
    <w:p w14:paraId="6510852A" w14:textId="7BFC94C0" w:rsidR="00D81DCA" w:rsidRDefault="00D81DCA" w:rsidP="00D81DCA">
      <w:pPr>
        <w:pStyle w:val="ListParagraph"/>
        <w:numPr>
          <w:ilvl w:val="0"/>
          <w:numId w:val="1"/>
        </w:numPr>
      </w:pPr>
      <w:r>
        <w:t xml:space="preserve">After all the datacenter info is known, a datacenter block that the user can then place on the map in the land area they have already input. The size of that block will be calculated as a square to start. The area is a combination of </w:t>
      </w:r>
      <w:proofErr w:type="spellStart"/>
      <w:r>
        <w:t>datahall</w:t>
      </w:r>
      <w:proofErr w:type="spellEnd"/>
      <w:r>
        <w:t xml:space="preserve">, cooling, </w:t>
      </w:r>
      <w:r>
        <w:lastRenderedPageBreak/>
        <w:t>and backup power and will be derived from basic datacenter transfer functions. These will be editable in the future, but for now they can be hardcoded:</w:t>
      </w:r>
    </w:p>
    <w:p w14:paraId="122DCD09" w14:textId="2EF62F8D" w:rsidR="00D81DCA" w:rsidRPr="00D81DCA" w:rsidRDefault="00D81DCA" w:rsidP="00D81DCA">
      <w:pPr>
        <w:pStyle w:val="ListParagraph"/>
        <w:numPr>
          <w:ilvl w:val="1"/>
          <w:numId w:val="1"/>
        </w:numPr>
      </w:pPr>
      <w:r>
        <w:t xml:space="preserve">Area of data hall: The white space density can be calculated by </w:t>
      </w:r>
      <w:proofErr w:type="spellStart"/>
      <w:r>
        <w:t>ws_density</w:t>
      </w:r>
      <w:proofErr w:type="spellEnd"/>
      <w:r>
        <w:t xml:space="preserve"> </w:t>
      </w:r>
      <w:r w:rsidRPr="00D81DCA">
        <w:t>= 0.008</w:t>
      </w:r>
      <w:r>
        <w:t>*</w:t>
      </w:r>
      <w:proofErr w:type="spellStart"/>
      <w:r>
        <w:t>rack_density</w:t>
      </w:r>
      <w:proofErr w:type="spellEnd"/>
      <w:r w:rsidRPr="00D81DCA">
        <w:t xml:space="preserve"> + 0.1216</w:t>
      </w:r>
      <w:r>
        <w:t xml:space="preserve"> which returns kW/</w:t>
      </w:r>
      <w:proofErr w:type="spellStart"/>
      <w:r>
        <w:t>sqft</w:t>
      </w:r>
      <w:proofErr w:type="spellEnd"/>
      <w:r>
        <w:t>. This is then multiplied by the white space ratio (input e above) to get overall data hall density (units still kW/</w:t>
      </w:r>
      <w:proofErr w:type="spellStart"/>
      <w:r>
        <w:t>sqft</w:t>
      </w:r>
      <w:proofErr w:type="spellEnd"/>
      <w:r>
        <w:t xml:space="preserve">). Then the total MW IT load for the data center is divided by this value (and multiplied by 1000 to convert MW to kW), resulting in the </w:t>
      </w:r>
      <w:proofErr w:type="spellStart"/>
      <w:r>
        <w:t>sqft</w:t>
      </w:r>
      <w:proofErr w:type="spellEnd"/>
      <w:r>
        <w:t xml:space="preserve"> of the data hall. </w:t>
      </w:r>
    </w:p>
    <w:p w14:paraId="2F6EC6A0" w14:textId="77777777" w:rsidR="00D81DCA" w:rsidRDefault="00D81DCA" w:rsidP="00D81DCA">
      <w:pPr>
        <w:pStyle w:val="ListParagraph"/>
        <w:numPr>
          <w:ilvl w:val="1"/>
          <w:numId w:val="1"/>
        </w:numPr>
      </w:pPr>
      <w:r>
        <w:t xml:space="preserve">Area of backup power: A sum of the UPS, generator, and switchgear area from the inputs added together then multiplied by IT load. Then multiplied by X in input f (redundancy multiple) and then multiplied by 1+Y*0.1 for the redundancy adder. Meaning that the area will get 10% larger for every N+Y redundancy adder so a N+2 system will be 20% larger. </w:t>
      </w:r>
    </w:p>
    <w:p w14:paraId="330761E4" w14:textId="77777777" w:rsidR="00D81DCA" w:rsidRDefault="00D81DCA" w:rsidP="00D81DCA">
      <w:pPr>
        <w:pStyle w:val="ListParagraph"/>
        <w:numPr>
          <w:ilvl w:val="1"/>
          <w:numId w:val="1"/>
        </w:numPr>
      </w:pPr>
      <w:r>
        <w:t xml:space="preserve">Area of chillers: Based on the type of cooling input in input 3.b above (cooling type) the chiller area will be calculated by multiplying IT load by 0.4sqft/kW for dry-cooled chillers or 0.2sqft/kW for evaporative cooling. </w:t>
      </w:r>
    </w:p>
    <w:p w14:paraId="50FEF1BB" w14:textId="0C1245C7" w:rsidR="00D81DCA" w:rsidRDefault="00D81DCA" w:rsidP="00D81DCA">
      <w:pPr>
        <w:ind w:left="720"/>
      </w:pPr>
      <w:r>
        <w:t xml:space="preserve">This calculation will produce a total </w:t>
      </w:r>
      <w:proofErr w:type="spellStart"/>
      <w:r>
        <w:t>sqft</w:t>
      </w:r>
      <w:proofErr w:type="spellEnd"/>
      <w:r>
        <w:t xml:space="preserve"> for the facility. It will default to a square that the user can place somewhere in the land space the user has already input. Once placed the user can drag the edges of the square to change its proportions. For example, if the user drags one edge smaller to make the width change, then the height will adjust to keep the same area. The user can also rotate the rectangle </w:t>
      </w:r>
      <w:proofErr w:type="gramStart"/>
      <w:r>
        <w:t>off-orthogonal</w:t>
      </w:r>
      <w:proofErr w:type="gramEnd"/>
      <w:r>
        <w:t xml:space="preserve"> to the screen (the default). Finally, the user can drag the facility around by clicking the center and dragging it. </w:t>
      </w:r>
    </w:p>
    <w:p w14:paraId="164069F5" w14:textId="772A9371" w:rsidR="00D81DCA" w:rsidRDefault="00D81DCA" w:rsidP="00D81DCA">
      <w:pPr>
        <w:pStyle w:val="ListParagraph"/>
        <w:numPr>
          <w:ilvl w:val="0"/>
          <w:numId w:val="1"/>
        </w:numPr>
      </w:pPr>
      <w:r>
        <w:t>Once the user is happy with the data center, they click a button that says something like save data center configuration. When they do this the settings for the datacenter are saved and the annual performance of the datacenter is calculated according to the following steps:</w:t>
      </w:r>
    </w:p>
    <w:p w14:paraId="73016CCB" w14:textId="6759D17E" w:rsidR="00D81DCA" w:rsidRDefault="00D81DCA" w:rsidP="00D81DCA">
      <w:pPr>
        <w:pStyle w:val="ListParagraph"/>
        <w:numPr>
          <w:ilvl w:val="1"/>
          <w:numId w:val="1"/>
        </w:numPr>
      </w:pPr>
      <w:r>
        <w:t xml:space="preserve">A weather file for the facility location is called via API from the NSRDB weather data server (info here </w:t>
      </w:r>
      <w:r w:rsidRPr="00D81DCA">
        <w:t>https://developer.nlr.gov/docs/solar/nsrdb/</w:t>
      </w:r>
      <w:r>
        <w:t xml:space="preserve">). The requested file should be a TMY file with all fields selected and the timestamps converted to local time without leap day. The critical fields will be TDB, TWB, RH, Dewpoint, and solar GHI. </w:t>
      </w:r>
    </w:p>
    <w:p w14:paraId="642AA606" w14:textId="77777777" w:rsidR="00D81DCA" w:rsidRDefault="00D81DCA" w:rsidP="00D81DCA">
      <w:pPr>
        <w:pStyle w:val="ListParagraph"/>
        <w:numPr>
          <w:ilvl w:val="1"/>
          <w:numId w:val="1"/>
        </w:numPr>
      </w:pPr>
      <w:r>
        <w:t xml:space="preserve">These hourly values will become the first entries into a pandas </w:t>
      </w:r>
      <w:proofErr w:type="spellStart"/>
      <w:r>
        <w:t>dataframe</w:t>
      </w:r>
      <w:proofErr w:type="spellEnd"/>
      <w:r>
        <w:t xml:space="preserve"> that will track the entire hourly model. This </w:t>
      </w:r>
      <w:proofErr w:type="spellStart"/>
      <w:r>
        <w:t>dataframe</w:t>
      </w:r>
      <w:proofErr w:type="spellEnd"/>
      <w:r>
        <w:t xml:space="preserve"> will be the backbone of the entire model. The first column should be timestamp followed by the IT load (which recall in the final paragraph of step 3 we established had an hourly load even though it was assumed constant at this point). But the </w:t>
      </w:r>
      <w:r>
        <w:lastRenderedPageBreak/>
        <w:t xml:space="preserve">hourly IT load should be applied </w:t>
      </w:r>
      <w:proofErr w:type="gramStart"/>
      <w:r>
        <w:t>over and over</w:t>
      </w:r>
      <w:proofErr w:type="gramEnd"/>
      <w:r>
        <w:t xml:space="preserve"> for each day so that, in the future, when a daily profile is put in as an input, the backend workflow is unchanged. </w:t>
      </w:r>
    </w:p>
    <w:p w14:paraId="18EADA24" w14:textId="5DCFE85E" w:rsidR="00D81DCA" w:rsidRDefault="00D81DCA" w:rsidP="00D81DCA">
      <w:pPr>
        <w:pStyle w:val="ListParagraph"/>
        <w:numPr>
          <w:ilvl w:val="1"/>
          <w:numId w:val="1"/>
        </w:numPr>
      </w:pPr>
      <w:r>
        <w:t>A linear model of the datacenter can then be evaluated for every hour, with the following outputs put into new columns:</w:t>
      </w:r>
    </w:p>
    <w:p w14:paraId="0443A59D" w14:textId="6DFD55D9" w:rsidR="00D81DCA" w:rsidRDefault="00D81DCA" w:rsidP="00D81DCA">
      <w:pPr>
        <w:pStyle w:val="ListParagraph"/>
        <w:numPr>
          <w:ilvl w:val="2"/>
          <w:numId w:val="1"/>
        </w:numPr>
      </w:pPr>
      <w:r>
        <w:t xml:space="preserve">Cooling thermal load: Cooling is equal to IT load * 1.1 (for pump, fan work, this is an input discussed below as IT </w:t>
      </w:r>
      <w:proofErr w:type="spellStart"/>
      <w:r>
        <w:t>parasitics</w:t>
      </w:r>
      <w:proofErr w:type="spellEnd"/>
      <w:r>
        <w:t xml:space="preserve">) less waste heat offtake (which at this point is zero). Cooling is then dumped mechanically (a new </w:t>
      </w:r>
      <w:proofErr w:type="spellStart"/>
      <w:r>
        <w:t>dataframe</w:t>
      </w:r>
      <w:proofErr w:type="spellEnd"/>
      <w:r>
        <w:t xml:space="preserve"> column) if ambient (TDB for dry cooling or TWB for evaporative cooling) is less than T </w:t>
      </w:r>
      <w:r w:rsidR="00B8436A">
        <w:t>supply</w:t>
      </w:r>
      <w:r>
        <w:t xml:space="preserve"> (from 3.c) minus </w:t>
      </w:r>
      <w:proofErr w:type="spellStart"/>
      <w:r>
        <w:t>T_approach</w:t>
      </w:r>
      <w:proofErr w:type="spellEnd"/>
      <w:r>
        <w:t xml:space="preserve">, an input of the model that can be hardcoded in some kind of input section to start. </w:t>
      </w:r>
      <w:proofErr w:type="spellStart"/>
      <w:r>
        <w:t>T_approach</w:t>
      </w:r>
      <w:proofErr w:type="spellEnd"/>
      <w:r>
        <w:t xml:space="preserve"> should be 10C. If ambient is less than </w:t>
      </w:r>
      <w:proofErr w:type="spellStart"/>
      <w:r>
        <w:t>T_</w:t>
      </w:r>
      <w:r w:rsidR="00B8436A">
        <w:t>supply</w:t>
      </w:r>
      <w:proofErr w:type="spellEnd"/>
      <w:r>
        <w:t xml:space="preserve"> minus </w:t>
      </w:r>
      <w:proofErr w:type="spellStart"/>
      <w:r>
        <w:t>T_approach</w:t>
      </w:r>
      <w:proofErr w:type="spellEnd"/>
      <w:r>
        <w:t xml:space="preserve"> no mechanical cooling is required and it is tracked as free cooling in a separate column. In this way, 2 new columns are created: mechanical cooling (units = </w:t>
      </w:r>
      <w:proofErr w:type="spellStart"/>
      <w:r>
        <w:t>kW_thermal</w:t>
      </w:r>
      <w:proofErr w:type="spellEnd"/>
      <w:r>
        <w:t xml:space="preserve">) and free cooling (units = </w:t>
      </w:r>
      <w:proofErr w:type="spellStart"/>
      <w:r>
        <w:t>kW_thermal</w:t>
      </w:r>
      <w:proofErr w:type="spellEnd"/>
      <w:r>
        <w:t xml:space="preserve">). </w:t>
      </w:r>
    </w:p>
    <w:p w14:paraId="591D2FC1" w14:textId="18A6866C" w:rsidR="00D81DCA" w:rsidRDefault="00D81DCA" w:rsidP="00D81DCA">
      <w:pPr>
        <w:pStyle w:val="ListParagraph"/>
        <w:numPr>
          <w:ilvl w:val="2"/>
          <w:numId w:val="1"/>
        </w:numPr>
      </w:pPr>
      <w:r>
        <w:t xml:space="preserve">COP of mechanical cooling: Based on ambient (TDB for dry cooling or TWB for evaporative cooling) a mechanical cooling COP should be calculated using a % </w:t>
      </w:r>
      <w:proofErr w:type="spellStart"/>
      <w:r>
        <w:t>carnot</w:t>
      </w:r>
      <w:proofErr w:type="spellEnd"/>
      <w:r>
        <w:t xml:space="preserve"> approach</w:t>
      </w:r>
      <w:r w:rsidR="006B5639">
        <w:t xml:space="preserve"> (40% default)</w:t>
      </w:r>
      <w:r>
        <w:t xml:space="preserve">. The </w:t>
      </w:r>
      <w:proofErr w:type="spellStart"/>
      <w:r>
        <w:t>carnot</w:t>
      </w:r>
      <w:proofErr w:type="spellEnd"/>
      <w:r>
        <w:t xml:space="preserve"> efficiency should be calculated for a cooling cycle between the ambient</w:t>
      </w:r>
      <w:r w:rsidR="006B5639">
        <w:t xml:space="preserve"> + </w:t>
      </w:r>
      <w:proofErr w:type="spellStart"/>
      <w:r w:rsidR="006B5639">
        <w:t>T_cond_approach</w:t>
      </w:r>
      <w:proofErr w:type="spellEnd"/>
      <w:r w:rsidR="006B5639">
        <w:t xml:space="preserve"> (10C default)</w:t>
      </w:r>
      <w:r>
        <w:t xml:space="preserve"> and the </w:t>
      </w:r>
      <w:r w:rsidR="006B5639">
        <w:t>supply</w:t>
      </w:r>
      <w:r>
        <w:t xml:space="preserve"> temp of the water (from 3.c) less </w:t>
      </w:r>
      <w:proofErr w:type="spellStart"/>
      <w:r>
        <w:t>T_pinch</w:t>
      </w:r>
      <w:proofErr w:type="spellEnd"/>
      <w:r>
        <w:t xml:space="preserve"> (5C default)</w:t>
      </w:r>
      <w:r w:rsidR="006B5639">
        <w:t>,</w:t>
      </w:r>
      <w:r>
        <w:t xml:space="preserve"> which will be an input in the input section that will eventually be editable by the user but hard coded to start. This COP will be clamped between 0 and COP max of 10. COP max will also be an input in the same input section. COP will be a new column in the </w:t>
      </w:r>
      <w:proofErr w:type="spellStart"/>
      <w:r>
        <w:t>dataframe</w:t>
      </w:r>
      <w:proofErr w:type="spellEnd"/>
      <w:r>
        <w:t xml:space="preserve">. </w:t>
      </w:r>
    </w:p>
    <w:p w14:paraId="6290D689" w14:textId="58E284B0" w:rsidR="00D81DCA" w:rsidRDefault="00D81DCA" w:rsidP="00D81DCA">
      <w:pPr>
        <w:pStyle w:val="ListParagraph"/>
        <w:numPr>
          <w:ilvl w:val="2"/>
          <w:numId w:val="1"/>
        </w:numPr>
      </w:pPr>
      <w:r>
        <w:t xml:space="preserve">Electrical cooling load: A new column calculated by mechanical cooling thermal load divided by COP and adding it to the free cooling column </w:t>
      </w:r>
      <w:proofErr w:type="spellStart"/>
      <w:r>
        <w:t>devided</w:t>
      </w:r>
      <w:proofErr w:type="spellEnd"/>
      <w:r>
        <w:t xml:space="preserve"> by an assumed effective COP of 50 for dry cooling and 100 for evaporative cooling. These assumed free cooling COPs should be inputs and capture the work required to dump the heat even if the compressor is off from pumps and fans. </w:t>
      </w:r>
    </w:p>
    <w:p w14:paraId="178D8952" w14:textId="62AA6AFB" w:rsidR="00D81DCA" w:rsidRDefault="00D81DCA" w:rsidP="00D81DCA">
      <w:pPr>
        <w:pStyle w:val="ListParagraph"/>
        <w:numPr>
          <w:ilvl w:val="2"/>
          <w:numId w:val="1"/>
        </w:numPr>
      </w:pPr>
      <w:r>
        <w:t xml:space="preserve">IT </w:t>
      </w:r>
      <w:proofErr w:type="spellStart"/>
      <w:r>
        <w:t>parasitics</w:t>
      </w:r>
      <w:proofErr w:type="spellEnd"/>
      <w:r>
        <w:t xml:space="preserve">: these are the loads for the building that are not IT and should be set at a constant of 10% IT load (and listed in the input section). Since IT load column is transient (although constant to start), this load can also change over time, so it needs its own column. </w:t>
      </w:r>
    </w:p>
    <w:p w14:paraId="598FB1DD" w14:textId="36C32575" w:rsidR="00D81DCA" w:rsidRDefault="00D81DCA" w:rsidP="00D81DCA">
      <w:pPr>
        <w:pStyle w:val="ListParagraph"/>
        <w:numPr>
          <w:ilvl w:val="1"/>
          <w:numId w:val="1"/>
        </w:numPr>
      </w:pPr>
      <w:r>
        <w:lastRenderedPageBreak/>
        <w:t xml:space="preserve">After the linear model is created, the site setup is </w:t>
      </w:r>
      <w:proofErr w:type="gramStart"/>
      <w:r>
        <w:t>complete</w:t>
      </w:r>
      <w:proofErr w:type="gramEnd"/>
      <w:r>
        <w:t xml:space="preserve"> and the user is taken to the site optimization pane. In this screen the current performance and design of the datacenter are shown. The same map the user just setup is shown on the left of the screen and three </w:t>
      </w:r>
      <w:proofErr w:type="spellStart"/>
      <w:r w:rsidR="007F7B4B">
        <w:t>P</w:t>
      </w:r>
      <w:r>
        <w:t>lotly</w:t>
      </w:r>
      <w:proofErr w:type="spellEnd"/>
      <w:r>
        <w:t xml:space="preserve"> graphs visualize the entire year</w:t>
      </w:r>
      <w:r w:rsidR="007F7B4B">
        <w:t>’</w:t>
      </w:r>
      <w:r>
        <w:t xml:space="preserve">s </w:t>
      </w:r>
      <w:proofErr w:type="spellStart"/>
      <w:r>
        <w:t>datafram</w:t>
      </w:r>
      <w:r w:rsidR="007F7B4B">
        <w:t>e</w:t>
      </w:r>
      <w:proofErr w:type="spellEnd"/>
      <w:r>
        <w:t xml:space="preserve"> for the model on the left. </w:t>
      </w:r>
      <w:r>
        <w:br/>
      </w:r>
      <w:r>
        <w:br/>
        <w:t xml:space="preserve">The top graph should show ambient: TDB, TWB, TDP, and GHI for the year. These should be line traces without smoothing and GHI will need to be on a secondary axis. </w:t>
      </w:r>
      <w:r>
        <w:br/>
      </w:r>
      <w:r>
        <w:br/>
        <w:t xml:space="preserve">The middle graph shows thermal info. This should be rendered as time series with stacked areas and should show the mechanical cooling and the free cooling columns at this point. There will be more traces added as time go on, so be sure this is scalable. As a sanity check, this plot should always add up to the IT load *1.1 because there are no other sources of heat yet except the IT load. </w:t>
      </w:r>
      <w:r>
        <w:br/>
      </w:r>
      <w:r>
        <w:br/>
        <w:t xml:space="preserve">The bottom graph shows electrical info. This should again be stacked area with the IT load on the bottom, then parasitic load on top of that, then cooling load on top of that. There should also be a black line (no area) shown that gives the net load to the grid. This will be very boring at this point, but will get interesting as more system are added. </w:t>
      </w:r>
      <w:r>
        <w:br/>
      </w:r>
      <w:r>
        <w:br/>
      </w:r>
    </w:p>
    <w:p w14:paraId="59C11918" w14:textId="48544313" w:rsidR="00D81DCA" w:rsidRDefault="00D81DCA" w:rsidP="00D81DCA">
      <w:r>
        <w:br/>
      </w:r>
    </w:p>
    <w:sectPr w:rsidR="00D81D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4558F3"/>
    <w:multiLevelType w:val="hybridMultilevel"/>
    <w:tmpl w:val="79B8EB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936A43"/>
    <w:multiLevelType w:val="hybridMultilevel"/>
    <w:tmpl w:val="C30E98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36049770">
    <w:abstractNumId w:val="0"/>
  </w:num>
  <w:num w:numId="2" w16cid:durableId="18783644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DCA"/>
    <w:rsid w:val="001C26D6"/>
    <w:rsid w:val="00384151"/>
    <w:rsid w:val="005276BE"/>
    <w:rsid w:val="006B5639"/>
    <w:rsid w:val="006E519B"/>
    <w:rsid w:val="00764FFC"/>
    <w:rsid w:val="007C437A"/>
    <w:rsid w:val="007F7B4B"/>
    <w:rsid w:val="00873109"/>
    <w:rsid w:val="00997B21"/>
    <w:rsid w:val="00B8436A"/>
    <w:rsid w:val="00D81DCA"/>
    <w:rsid w:val="00F02419"/>
    <w:rsid w:val="00F54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7ECB75"/>
  <w15:chartTrackingRefBased/>
  <w15:docId w15:val="{9BF5717B-E0DF-E34A-9FE5-A07165ED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DCA"/>
    <w:rPr>
      <w:rFonts w:eastAsiaTheme="majorEastAsia" w:cstheme="majorBidi"/>
      <w:color w:val="272727" w:themeColor="text1" w:themeTint="D8"/>
    </w:rPr>
  </w:style>
  <w:style w:type="paragraph" w:styleId="Title">
    <w:name w:val="Title"/>
    <w:basedOn w:val="Normal"/>
    <w:next w:val="Normal"/>
    <w:link w:val="TitleChar"/>
    <w:uiPriority w:val="10"/>
    <w:qFormat/>
    <w:rsid w:val="00D81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DCA"/>
    <w:pPr>
      <w:spacing w:before="160"/>
      <w:jc w:val="center"/>
    </w:pPr>
    <w:rPr>
      <w:i/>
      <w:iCs/>
      <w:color w:val="404040" w:themeColor="text1" w:themeTint="BF"/>
    </w:rPr>
  </w:style>
  <w:style w:type="character" w:customStyle="1" w:styleId="QuoteChar">
    <w:name w:val="Quote Char"/>
    <w:basedOn w:val="DefaultParagraphFont"/>
    <w:link w:val="Quote"/>
    <w:uiPriority w:val="29"/>
    <w:rsid w:val="00D81DCA"/>
    <w:rPr>
      <w:i/>
      <w:iCs/>
      <w:color w:val="404040" w:themeColor="text1" w:themeTint="BF"/>
    </w:rPr>
  </w:style>
  <w:style w:type="paragraph" w:styleId="ListParagraph">
    <w:name w:val="List Paragraph"/>
    <w:basedOn w:val="Normal"/>
    <w:uiPriority w:val="34"/>
    <w:qFormat/>
    <w:rsid w:val="00D81DCA"/>
    <w:pPr>
      <w:ind w:left="720"/>
      <w:contextualSpacing/>
    </w:pPr>
  </w:style>
  <w:style w:type="character" w:styleId="IntenseEmphasis">
    <w:name w:val="Intense Emphasis"/>
    <w:basedOn w:val="DefaultParagraphFont"/>
    <w:uiPriority w:val="21"/>
    <w:qFormat/>
    <w:rsid w:val="00D81DCA"/>
    <w:rPr>
      <w:i/>
      <w:iCs/>
      <w:color w:val="0F4761" w:themeColor="accent1" w:themeShade="BF"/>
    </w:rPr>
  </w:style>
  <w:style w:type="paragraph" w:styleId="IntenseQuote">
    <w:name w:val="Intense Quote"/>
    <w:basedOn w:val="Normal"/>
    <w:next w:val="Normal"/>
    <w:link w:val="IntenseQuoteChar"/>
    <w:uiPriority w:val="30"/>
    <w:qFormat/>
    <w:rsid w:val="00D81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DCA"/>
    <w:rPr>
      <w:i/>
      <w:iCs/>
      <w:color w:val="0F4761" w:themeColor="accent1" w:themeShade="BF"/>
    </w:rPr>
  </w:style>
  <w:style w:type="character" w:styleId="IntenseReference">
    <w:name w:val="Intense Reference"/>
    <w:basedOn w:val="DefaultParagraphFont"/>
    <w:uiPriority w:val="32"/>
    <w:qFormat/>
    <w:rsid w:val="00D81DCA"/>
    <w:rPr>
      <w:b/>
      <w:bCs/>
      <w:smallCaps/>
      <w:color w:val="0F4761" w:themeColor="accent1" w:themeShade="BF"/>
      <w:spacing w:val="5"/>
    </w:rPr>
  </w:style>
  <w:style w:type="paragraph" w:styleId="NormalWeb">
    <w:name w:val="Normal (Web)"/>
    <w:basedOn w:val="Normal"/>
    <w:uiPriority w:val="99"/>
    <w:semiHidden/>
    <w:unhideWhenUsed/>
    <w:rsid w:val="00D81DC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4</Pages>
  <Words>1368</Words>
  <Characters>7252</Characters>
  <Application>Microsoft Office Word</Application>
  <DocSecurity>0</DocSecurity>
  <Lines>557</Lines>
  <Paragraphs>297</Paragraphs>
  <ScaleCrop>false</ScaleCrop>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Goldfarbmuren</dc:creator>
  <cp:keywords/>
  <dc:description/>
  <cp:lastModifiedBy>Russell Goldfarbmuren</cp:lastModifiedBy>
  <cp:revision>4</cp:revision>
  <dcterms:created xsi:type="dcterms:W3CDTF">2026-09-29T15:05:00Z</dcterms:created>
  <dcterms:modified xsi:type="dcterms:W3CDTF">2026-09-29T22:11:00Z</dcterms:modified>
</cp:coreProperties>
</file>