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t1"/>
        <w:snapToGrid w:val="true"/>
        <w:spacing w:before="240" w:after="60" w:line="240" w:lineRule="auto"/>
        <w:ind/>
        <w:jc w:val="left"/>
      </w:pP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一、支付checklist</w:t>
      </w:r>
    </w:p>
    <w:tbl>
      <w:tblPr>
        <w:tblStyle w:val="a7"/>
        <w:tblW w:w="0" w:type="auto"/>
        <w:tblInd w:w="0"/>
        <w:tblLook w:firstRow="1" w:lastRow="0" w:firstColumn="1" w:lastColumn="0" w:noHBand="0" w:noVBand="1" w:val="04A0"/>
      </w:tblPr>
      <w:tblGrid>
        <w:gridCol w:w="2205"/>
        <w:gridCol w:w="4500"/>
        <w:gridCol w:w="3390"/>
      </w:tblGrid>
      <w:tr>
        <w:trPr>
          <w:trHeight w:val="345" w:hRule="atLeast"/>
        </w:trPr>
        <w:tc>
          <w:tcPr>
            <w:tcW w:w="22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00"/>
            <w:vAlign w:val="top"/>
          </w:tcPr>
          <w:p>
            <w:pPr>
              <w:snapToGrid w:val="false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测试场景</w:t>
            </w: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00"/>
            <w:vAlign w:val="top"/>
          </w:tcPr>
          <w:p>
            <w:pPr>
              <w:snapToGrid w:val="false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测试步骤</w:t>
            </w:r>
          </w:p>
        </w:tc>
        <w:tc>
          <w:tcPr>
            <w:tcW w:w="33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00"/>
            <w:vAlign w:val="top"/>
          </w:tcPr>
          <w:p>
            <w:pPr>
              <w:snapToGrid w:val="false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测试结论（pass/fail）</w:t>
            </w:r>
          </w:p>
        </w:tc>
      </w:tr>
      <w:tr>
        <w:trPr>
          <w:trHeight w:val="345" w:hRule="atLeast"/>
        </w:trPr>
        <w:tc>
          <w:tcPr>
            <w:tcW w:w="22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支付扣费</w:t>
            </w: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pStyle w:val="a8"/>
              <w:numPr>
                <w:ilvl w:val="0"/>
                <w:numId w:val="1"/>
              </w:numPr>
              <w:snapToGrid w:val="false"/>
              <w:spacing/>
              <w:ind w:hangingChars="200" w:firstLineChars="0"/>
              <w:jc w:val="left"/>
            </w:pPr>
            <w:r>
              <w:rPr>
                <w:rFonts w:hint="eastAsia"/>
              </w:rPr>
            </w:r>
            <w:r>
              <w:rPr>
                <w:rFonts w:ascii="微软雅黑" w:hAnsi="微软雅黑" w:eastAsia="微软雅黑"/>
                <w:sz w:val="24"/>
                <w:szCs w:val="24"/>
              </w:rPr>
            </w:r>
            <w:r>
              <w:rPr>
                <w:rFonts w:ascii="微软雅黑" w:hAnsi="微软雅黑" w:eastAsia="微软雅黑"/>
                <w:sz w:val="24"/>
                <w:szCs w:val="24"/>
              </w:rPr>
              <w:t>进入应用的支付入口，能够正常呼起手Q支付进行操作</w:t>
            </w:r>
          </w:p>
          <w:p>
            <w:pPr>
              <w:pStyle w:val="a8"/>
              <w:numPr>
                <w:ilvl w:val="0"/>
                <w:numId w:val="1"/>
              </w:numPr>
              <w:snapToGrid w:val="false"/>
              <w:spacing/>
              <w:ind w:hangingChars="200" w:firstLineChars="0"/>
              <w:jc w:val="left"/>
            </w:pPr>
            <w:r>
              <w:rPr>
                <w:rFonts w:hint="eastAsia"/>
              </w:rPr>
            </w:r>
            <w:r>
              <w:rPr>
                <w:rFonts w:ascii="微软雅黑" w:hAnsi="微软雅黑" w:eastAsia="微软雅黑"/>
                <w:sz w:val="24"/>
                <w:szCs w:val="24"/>
              </w:rPr>
            </w:r>
            <w:r>
              <w:rPr>
                <w:rFonts w:ascii="微软雅黑" w:hAnsi="微软雅黑" w:eastAsia="微软雅黑"/>
                <w:sz w:val="24"/>
                <w:szCs w:val="24"/>
              </w:rPr>
              <w:t>在钱包余额足够时，能够成功完成支付，并在QQ钱包正确推送消费消息</w:t>
            </w:r>
          </w:p>
        </w:tc>
        <w:tc>
          <w:tcPr>
            <w:tcW w:w="33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pass</w:t>
            </w:r>
          </w:p>
        </w:tc>
      </w:tr>
      <w:tr>
        <w:trPr>
          <w:trHeight w:val="345" w:hRule="atLeast"/>
        </w:trPr>
        <w:tc>
          <w:tcPr>
            <w:tcW w:w="22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支付物品到账</w:t>
            </w: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pStyle w:val="a8"/>
              <w:numPr>
                <w:ilvl w:val="0"/>
                <w:numId w:val="2"/>
              </w:numPr>
              <w:snapToGrid w:val="false"/>
              <w:spacing/>
              <w:ind w:hangingChars="200" w:firstLineChars="0"/>
              <w:jc w:val="left"/>
            </w:pPr>
            <w:r>
              <w:rPr>
                <w:rFonts w:hint="eastAsia"/>
              </w:rPr>
            </w:r>
            <w:r>
              <w:rPr>
                <w:rFonts w:ascii="微软雅黑" w:hAnsi="微软雅黑" w:eastAsia="微软雅黑"/>
                <w:sz w:val="24"/>
                <w:szCs w:val="24"/>
              </w:rPr>
            </w:r>
            <w:r>
              <w:rPr>
                <w:rFonts w:ascii="微软雅黑" w:hAnsi="微软雅黑" w:eastAsia="微软雅黑"/>
                <w:sz w:val="24"/>
                <w:szCs w:val="24"/>
              </w:rPr>
              <w:t>支付成功后，能够正常使用购买到的商品，并能对商品进行正常操作</w:t>
            </w:r>
          </w:p>
          <w:p>
            <w:pPr>
              <w:pStyle w:val="a8"/>
              <w:numPr>
                <w:ilvl w:val="0"/>
                <w:numId w:val="2"/>
              </w:numPr>
              <w:snapToGrid w:val="false"/>
              <w:spacing/>
              <w:ind w:hangingChars="200" w:firstLineChars="0"/>
              <w:jc w:val="left"/>
            </w:pPr>
            <w:r>
              <w:rPr>
                <w:rFonts w:hint="eastAsia"/>
              </w:rPr>
            </w:r>
            <w:r>
              <w:rPr>
                <w:rFonts w:ascii="微软雅黑" w:hAnsi="微软雅黑" w:eastAsia="微软雅黑"/>
                <w:sz w:val="24"/>
                <w:szCs w:val="24"/>
              </w:rPr>
            </w:r>
            <w:r>
              <w:rPr>
                <w:rFonts w:ascii="微软雅黑" w:hAnsi="微软雅黑" w:eastAsia="微软雅黑"/>
                <w:sz w:val="24"/>
                <w:szCs w:val="24"/>
              </w:rPr>
              <w:t>如果存在订单的功能，能够正常展示购买的商品的订单状态</w:t>
            </w:r>
          </w:p>
        </w:tc>
        <w:tc>
          <w:tcPr>
            <w:tcW w:w="33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pass</w:t>
            </w:r>
          </w:p>
        </w:tc>
      </w:tr>
      <w:tr>
        <w:trPr>
          <w:trHeight w:val="345" w:hRule="atLeast"/>
        </w:trPr>
        <w:tc>
          <w:tcPr>
            <w:tcW w:w="22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不同支付入口或者物品验证</w:t>
            </w:r>
          </w:p>
        </w:tc>
        <w:tc>
          <w:tcPr>
            <w:tcW w:w="4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1、应用如果存在不同类型的支付入口或者付费物品，需要逐个列出入口或者物品的支付自测结果，并附验证的截图在下面的详细数据里</w:t>
            </w:r>
          </w:p>
        </w:tc>
        <w:tc>
          <w:tcPr>
            <w:tcW w:w="33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jc w:val="left"/>
            </w:pPr>
            <w:r>
              <w:rPr>
                <w:rFonts w:ascii="微软雅黑" w:hAnsi="微软雅黑" w:eastAsia="微软雅黑"/>
                <w:sz w:val="24"/>
                <w:szCs w:val="24"/>
              </w:rPr>
              <w:t>pass</w:t>
            </w:r>
          </w:p>
        </w:tc>
      </w:tr>
    </w:tbl>
    <w:p>
      <w:pPr>
        <w:snapToGrid w:val="false"/>
      </w:pPr>
    </w:p>
    <w:p>
      <w:pPr>
        <w:snapToGrid w:val="false"/>
      </w:pPr>
    </w:p>
    <w:p>
      <w:pPr>
        <w:pStyle w:val="t1"/>
        <w:snapToGrid w:val="true"/>
        <w:spacing w:before="240" w:after="60" w:line="240" w:lineRule="auto"/>
        <w:ind/>
        <w:jc w:val="left"/>
      </w:pP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二、各个支付入口详细数据截图</w:t>
      </w:r>
    </w:p>
    <w:p>
      <w:pPr>
        <w:snapToGrid w:val="false"/>
        <w:jc w:val="left"/>
      </w:pPr>
      <w:r>
        <w:rPr>
          <w:rFonts w:ascii="微软雅黑" w:hAnsi="微软雅黑" w:eastAsia="微软雅黑"/>
          <w:b w:val="true"/>
          <w:bCs w:val="true"/>
          <w:sz w:val="24"/>
          <w:szCs w:val="24"/>
        </w:rPr>
        <w:t>以一款音频应用的支付举例：</w:t>
      </w:r>
    </w:p>
    <w:p>
      <w:pPr>
        <w:pStyle w:val="heading6"/>
        <w:numPr>
          <w:ilvl w:val="0"/>
          <w:numId w:val="1005"/>
        </w:numPr>
        <w:snapToGrid w:val="true"/>
        <w:spacing w:before="240" w:after="64" w:line="319" w:lineRule="auto"/>
        <w:ind w:hangingChars="200"/>
        <w:jc w:val="left"/>
      </w:pPr>
      <w:r>
        <w:rPr>
          <w:rFonts w:ascii="Wingdings" w:hAnsi="Wingdings" w:eastAsia="Wingdings"/>
        </w:rPr>
      </w:r>
      <w:r>
        <w:rPr>
          <w:rFonts w:ascii="微软雅黑" w:hAnsi="微软雅黑" w:eastAsia="微软雅黑"/>
        </w:rPr>
        <w:t>入口：支付入口或者物品总共有两种，一种是单集音频，一种是系列的全集音频</w:t>
      </w: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371725" cy="492442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pStyle w:val="heading6"/>
        <w:numPr>
          <w:ilvl w:val="0"/>
          <w:numId w:val="1005"/>
        </w:numPr>
        <w:snapToGrid w:val="true"/>
        <w:spacing w:before="240" w:after="64" w:line="319" w:lineRule="auto"/>
        <w:ind w:leftChars="0" w:hangingChars="200"/>
        <w:jc w:val="left"/>
      </w:pPr>
      <w:r>
        <w:rPr>
          <w:rFonts w:ascii="Wingdings" w:hAnsi="Wingdings" w:eastAsia="Wingdings"/>
        </w:rPr>
      </w:r>
      <w:r>
        <w:rPr>
          <w:rFonts w:ascii="微软雅黑" w:hAnsi="微软雅黑" w:eastAsia="微软雅黑"/>
        </w:rPr>
        <w:t>入口1：单集支付和到账截图，包含支付成功，支付消息，支付订单和状态</w:t>
      </w: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381250" cy="4943475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314575" cy="480060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276475" cy="473392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pStyle w:val="heading6"/>
        <w:numPr>
          <w:ilvl w:val="0"/>
          <w:numId w:val="1005"/>
        </w:numPr>
        <w:snapToGrid w:val="true"/>
        <w:spacing w:before="240" w:after="64" w:line="319" w:lineRule="auto"/>
        <w:ind w:leftChars="0" w:hangingChars="200"/>
        <w:jc w:val="left"/>
      </w:pPr>
      <w:r>
        <w:rPr>
          <w:rFonts w:ascii="Wingdings" w:hAnsi="Wingdings" w:eastAsia="Wingdings"/>
        </w:rPr>
      </w:r>
      <w:r>
        <w:rPr>
          <w:rFonts w:ascii="微软雅黑" w:hAnsi="微软雅黑" w:eastAsia="微软雅黑"/>
        </w:rPr>
        <w:t>入口2：系列全集音频支付和到账截图，包含支付成功，支付消息，支付订单和状态</w:t>
      </w: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152650" cy="447675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133600" cy="4429125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105025" cy="437197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、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、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05">
    <w:multiLevelType w:val="hybridMultilevel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eastAsia="Wingdings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1005">
    <w:abstractNumId w:val="100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heading6">
    <w:name w:val="heading 6"/>
    <w:basedOn w:val="a"/>
    <w:next w:val="a"/>
    <w:uiPriority w:val="9"/>
    <w:unhideWhenUsed/>
    <w:qFormat/>
    <w:rsid w:val="001C768A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