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66882"/>
          <w:sz w:val="20"/>
        </w:rPr>
        <w:t>RETO FINAL</w:t>
      </w:r>
    </w:p>
    <w:p>
      <w:pPr>
        <w:pStyle w:val="Title"/>
        <w:jc w:val="center"/>
      </w:pPr>
      <w:r>
        <w:t>Ficha de preparación para GitHub</w:t>
      </w:r>
    </w:p>
    <w:p>
      <w:pPr>
        <w:jc w:val="center"/>
      </w:pPr>
      <w:r>
        <w:rPr>
          <w:color w:val="555F69"/>
          <w:sz w:val="20"/>
        </w:rPr>
        <w:t>Herramientas Digitales para la Gestión y Monitoreo de Proyectos · 2026-2</w:t>
      </w:r>
    </w:p>
    <w:p>
      <w:pPr>
        <w:jc w:val="center"/>
      </w:pPr>
      <w:r>
        <w:rPr>
          <w:b/>
        </w:rPr>
        <w:t>Equipo: 01_PJSSR002</w:t>
      </w:r>
      <w:r>
        <w:br/>
        <w:t>Proyecto: RED INTEGRAL DE ORIENTACIÓN Y ACCESO EN SALUD SEXUAL Y REPRODUCTIVA JUVENIL</w:t>
      </w:r>
      <w:r>
        <w:br/>
        <w:t>Fecha de actualización: 18/10/2026</w:t>
      </w:r>
    </w:p>
    <w:p>
      <w:pPr>
        <w:pStyle w:val="Heading1"/>
      </w:pPr>
      <w:r>
        <w:t>1. Identificación del proyecto</w:t>
      </w:r>
    </w:p>
    <w:p>
      <w:r>
        <w:t>Integrantes</w:t>
      </w:r>
    </w:p>
    <w:p>
      <w:pPr>
        <w:pStyle w:val="ListBullet"/>
        <w:spacing w:after="40"/>
      </w:pPr>
      <w:r>
        <w:t>Cristian Daniel Sanchez Soto</w:t>
      </w:r>
    </w:p>
    <w:p>
      <w:pPr>
        <w:pStyle w:val="ListBullet"/>
        <w:spacing w:after="40"/>
      </w:pPr>
      <w:r>
        <w:t>Millerlandy Peña Doncel</w:t>
      </w:r>
    </w:p>
    <w:p>
      <w:pPr>
        <w:pStyle w:val="ListBullet"/>
        <w:spacing w:after="40"/>
      </w:pPr>
      <w:r>
        <w:t>Angie Paola Murillo Sanchez</w:t>
      </w:r>
    </w:p>
    <w:p>
      <w:pPr>
        <w:pStyle w:val="ListBullet"/>
        <w:spacing w:after="40"/>
      </w:pPr>
      <w:r>
        <w:t>Andres Eduardo Sierra Izquierdo</w:t>
      </w:r>
    </w:p>
    <w:p>
      <w:pPr>
        <w:pStyle w:val="Heading2"/>
      </w:pPr>
      <w:r>
        <w:t>Problema</w:t>
      </w:r>
    </w:p>
    <w:p>
      <w:r>
        <w:t>Acceso limitado de los jóvenes de 18 a 28 años del municipio de San Gabriel a información confiable y a servicios de orientación en salud sexual y reproductiva, debido al desconocimiento de la oferta institucional, la baja confianza en la información disponible y las barreras de acceso relacionadas con la distancia, los horarios de atención y la vergüenza para solicitar orientación.</w:t>
      </w:r>
    </w:p>
    <w:p>
      <w:pPr>
        <w:pStyle w:val="Heading2"/>
      </w:pPr>
      <w:r>
        <w:t>Alternativa de intervención</w:t>
      </w:r>
    </w:p>
    <w:p>
      <w:r>
        <w:t>Implementar una estrategia integral, territorial y multicanal que combine orientación digital y presencial, información confiable, atención individual y articulación con los servicios de salud sexual y reproductiva, adaptada a las necesidades de los jóvenes de 18 a 28 años y a las barreras de acceso de las zonas urbanas, periféricas y rurales de San Gabriel.</w:t>
      </w:r>
    </w:p>
    <w:p>
      <w:pPr>
        <w:pStyle w:val="Heading2"/>
      </w:pPr>
      <w:r>
        <w:t>Descripción operativa</w:t>
      </w:r>
    </w:p>
    <w:p>
      <w:r>
        <w:t>Desarrollar acciones de orientación presencial y digital, difusión de información confiable, atención individual y articulación con los servicios de salud, mediante canales accesibles y jornadas territoriales adaptadas a las necesidades de los jóvenes de 18 a 28 años, con seguimiento a las remisiones y evaluación de resultados.</w:t>
      </w:r>
    </w:p>
    <w:p>
      <w:pPr>
        <w:pStyle w:val="Heading1"/>
      </w:pPr>
      <w:r>
        <w:t>2. Componentes y actividades operativas corregidas</w:t>
      </w:r>
    </w:p>
    <w:p>
      <w:r>
        <w:t>Criterio de ajuste: cada actividad se formula como una acción principal, verificable y asignable de manera independiente en GitHub. Cuando una actividad depende de otra, se indica la secuencia y el producto que habilita el siguiente paso.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76"/>
            <w:vAlign w:val="center"/>
            <w:shd w:fill="1A4B69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 o línea de trabajo</w:t>
            </w:r>
          </w:p>
        </w:tc>
        <w:tc>
          <w:tcPr>
            <w:tcW w:type="dxa" w:w="5256"/>
            <w:vAlign w:val="center"/>
            <w:shd w:fill="1A4B69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Actividad operativa (una acción por tarea)</w:t>
            </w:r>
          </w:p>
        </w:tc>
        <w:tc>
          <w:tcPr>
            <w:tcW w:type="dxa" w:w="2952"/>
            <w:vAlign w:val="center"/>
            <w:shd w:fill="1A4B69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Resultado o evidencia prevista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Diseño metodológico, territorial y articulación institucional</w:t>
            </w:r>
          </w:p>
        </w:tc>
        <w:tc>
          <w:tcPr>
            <w:tcW w:type="dxa" w:w="52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1. Identificar la oferta institucional disponible en las zonas urbana consolidada, urbana periférica y rural de San Gabriel.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Listado preliminar de instituciones, servicios y organizaciones por zona.</w:t>
            </w:r>
          </w:p>
        </w:tc>
      </w:tr>
      <w:tr>
        <w:tc>
          <w:tcPr>
            <w:tcW w:type="dxa" w:w="2376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Diseño metodológico, territorial y articulación institucional</w:t>
            </w:r>
          </w:p>
        </w:tc>
        <w:tc>
          <w:tcPr>
            <w:tcW w:type="dxa" w:w="5256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2. Verificar los datos de contacto, ubicación, horarios, requisitos y servicios dirigidos a jóvenes de 18 a 28 años.</w:t>
            </w:r>
          </w:p>
        </w:tc>
        <w:tc>
          <w:tcPr>
            <w:tcW w:type="dxa" w:w="2952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Matriz de verificación con fuente, fecha de consulta y estado de cada dato.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Diseño metodológico, territorial y articulación institucional</w:t>
            </w:r>
          </w:p>
        </w:tc>
        <w:tc>
          <w:tcPr>
            <w:tcW w:type="dxa" w:w="52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3. Consolidar la información verificada en un directorio territorial organizado por zona.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Versión consolidada del directorio en formato editable.</w:t>
            </w:r>
          </w:p>
        </w:tc>
      </w:tr>
      <w:tr>
        <w:tc>
          <w:tcPr>
            <w:tcW w:type="dxa" w:w="2376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Diseño metodológico, territorial y articulación institucional</w:t>
            </w:r>
          </w:p>
        </w:tc>
        <w:tc>
          <w:tcPr>
            <w:tcW w:type="dxa" w:w="5256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4. Validar el directorio y la ruta de servicios con las instituciones o referentes responsables.</w:t>
            </w:r>
          </w:p>
        </w:tc>
        <w:tc>
          <w:tcPr>
            <w:tcW w:type="dxa" w:w="2952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Registro de validación, observaciones y datos pendientes.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Diseño metodológico, territorial y articulación institucional</w:t>
            </w:r>
          </w:p>
        </w:tc>
        <w:tc>
          <w:tcPr>
            <w:tcW w:type="dxa" w:w="52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5. Ajustar y publicar la versión validada del directorio y de la ruta de atención.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Directorio y ruta de servicios actualizados en formatos físico y digital.</w:t>
            </w:r>
          </w:p>
        </w:tc>
      </w:tr>
      <w:tr>
        <w:tc>
          <w:tcPr>
            <w:tcW w:type="dxa" w:w="2376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Estrategia de comunicación, difusión y canales digitales</w:t>
            </w:r>
          </w:p>
        </w:tc>
        <w:tc>
          <w:tcPr>
            <w:tcW w:type="dxa" w:w="5256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6. Definir los mensajes, públicos y formatos de los contenidos sobre planificación familiar, derechos y prevención.</w:t>
            </w:r>
          </w:p>
        </w:tc>
        <w:tc>
          <w:tcPr>
            <w:tcW w:type="dxa" w:w="2952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Matriz de contenidos con público objetivo, mensaje, formato y canal.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Estrategia de comunicación, difusión y canales digitales</w:t>
            </w:r>
          </w:p>
        </w:tc>
        <w:tc>
          <w:tcPr>
            <w:tcW w:type="dxa" w:w="52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7. Diseñar las piezas gráficas y los mensajes informativos para WhatsApp y redes sociales.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Borradores de piezas gráficas y textos de difusión.</w:t>
            </w:r>
          </w:p>
        </w:tc>
      </w:tr>
      <w:tr>
        <w:tc>
          <w:tcPr>
            <w:tcW w:type="dxa" w:w="2376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Estrategia de comunicación, difusión y canales digitales</w:t>
            </w:r>
          </w:p>
        </w:tc>
        <w:tc>
          <w:tcPr>
            <w:tcW w:type="dxa" w:w="5256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8. Revisar y validar la precisión técnica, el lenguaje, la confidencialidad y la pertinencia de los contenidos.</w:t>
            </w:r>
          </w:p>
        </w:tc>
        <w:tc>
          <w:tcPr>
            <w:tcW w:type="dxa" w:w="2952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Lista de chequeo diligenciada y decisión de aprobación o solicitud de ajustes.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Estrategia de comunicación, difusión y canales digitales</w:t>
            </w:r>
          </w:p>
        </w:tc>
        <w:tc>
          <w:tcPr>
            <w:tcW w:type="dxa" w:w="52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9. Ajustar o rediseñar las piezas y mensajes a partir de las observaciones de validación.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Versión final de los contenidos con cambios registrados.</w:t>
            </w:r>
          </w:p>
        </w:tc>
      </w:tr>
      <w:tr>
        <w:tc>
          <w:tcPr>
            <w:tcW w:type="dxa" w:w="2376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Estrategia de comunicación, difusión y canales digitales</w:t>
            </w:r>
          </w:p>
        </w:tc>
        <w:tc>
          <w:tcPr>
            <w:tcW w:type="dxa" w:w="5256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10. Programar y difundir los contenidos aprobados por WhatsApp y redes sociales.</w:t>
            </w:r>
          </w:p>
        </w:tc>
        <w:tc>
          <w:tcPr>
            <w:tcW w:type="dxa" w:w="2952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Calendario de publicaciones y evidencia de difusión por canal y territorio.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Canales y jornadas de orientación presencial y atención individual</w:t>
            </w:r>
          </w:p>
        </w:tc>
        <w:tc>
          <w:tcPr>
            <w:tcW w:type="dxa" w:w="52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11. Identificar y acordar los espacios físicos, fechas y horarios para las jornadas territoriales.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Agenda logística confirmada con instituciones educativas y centros comunitarios.</w:t>
            </w:r>
          </w:p>
        </w:tc>
      </w:tr>
      <w:tr>
        <w:tc>
          <w:tcPr>
            <w:tcW w:type="dxa" w:w="2376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Canales y jornadas de orientación presencial y atención individual</w:t>
            </w:r>
          </w:p>
        </w:tc>
        <w:tc>
          <w:tcPr>
            <w:tcW w:type="dxa" w:w="5256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12. Convocar a jóvenes de 18 a 28 años para participar en las jornadas de orientación.</w:t>
            </w:r>
          </w:p>
        </w:tc>
        <w:tc>
          <w:tcPr>
            <w:tcW w:type="dxa" w:w="2952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Plan de convocatoria y registro de acciones de divulgación.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Canales y jornadas de orientación presencial y atención individual</w:t>
            </w:r>
          </w:p>
        </w:tc>
        <w:tc>
          <w:tcPr>
            <w:tcW w:type="dxa" w:w="52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13. Ejecutar las jornadas y brindar orientación individual con enfoque diferencial y confidencial.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Registro de jornada y consolidado de atenciones, sin divulgar datos personales sensibles.</w:t>
            </w:r>
          </w:p>
        </w:tc>
      </w:tr>
      <w:tr>
        <w:tc>
          <w:tcPr>
            <w:tcW w:type="dxa" w:w="2376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Canales y jornadas de orientación presencial y atención individual</w:t>
            </w:r>
          </w:p>
        </w:tc>
        <w:tc>
          <w:tcPr>
            <w:tcW w:type="dxa" w:w="5256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14. Gestionar las remisiones a servicios institucionales cuando se identifique una necesidad de atención.</w:t>
            </w:r>
          </w:p>
        </w:tc>
        <w:tc>
          <w:tcPr>
            <w:tcW w:type="dxa" w:w="2952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Registro protegido de remisiones y entidad receptora, según los protocolos aplicables.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Canales y jornadas de orientación presencial y atención individual</w:t>
            </w:r>
          </w:p>
        </w:tc>
        <w:tc>
          <w:tcPr>
            <w:tcW w:type="dxa" w:w="52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15. Realizar seguimiento a las remisiones para conocer su estado y documentar barreras de acceso.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Matriz de seguimiento, estado de la remisión y acciones de continuidad.</w:t>
            </w:r>
          </w:p>
        </w:tc>
      </w:tr>
    </w:tbl>
    <w:p>
      <w:pPr>
        <w:spacing w:after="20"/>
      </w:pPr>
    </w:p>
    <w:p>
      <w:pPr>
        <w:pStyle w:val="Heading1"/>
      </w:pPr>
      <w:r>
        <w:t>3. Secuencia lógica de trabajo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vAlign w:val="center"/>
            <w:shd w:fill="1A4B69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Línea</w:t>
            </w:r>
          </w:p>
        </w:tc>
        <w:tc>
          <w:tcPr>
            <w:tcW w:type="dxa" w:w="8352"/>
            <w:vAlign w:val="center"/>
            <w:shd w:fill="1A4B69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Flujo de actividades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Directorio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Identificar oferta → verificar datos → consolidar directorio → validar con referentes → ajustar y publicar.</w:t>
            </w:r>
          </w:p>
        </w:tc>
      </w:tr>
      <w:tr>
        <w:tc>
          <w:tcPr>
            <w:tcW w:type="dxa" w:w="2232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Contenidos digitales</w:t>
            </w:r>
          </w:p>
        </w:tc>
        <w:tc>
          <w:tcPr>
            <w:tcW w:type="dxa" w:w="8352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Definir mensajes y públicos → diseñar borradores → revisar y validar → ajustar/rediseñar si hay observaciones → programar y difundir.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Orientación presencial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Acordar espacios y horarios → convocar → ejecutar jornadas y orientar → remitir cuando corresponda → hacer seguimiento.</w:t>
            </w:r>
          </w:p>
        </w:tc>
      </w:tr>
    </w:tbl>
    <w:p>
      <w:pPr>
        <w:spacing w:after="20"/>
      </w:pPr>
    </w:p>
    <w:p>
      <w:pPr>
        <w:pStyle w:val="Heading1"/>
      </w:pPr>
      <w:r>
        <w:t>4. Responsabilidades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center"/>
            <w:shd w:fill="1A4B69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Responsable o equipo</w:t>
            </w:r>
          </w:p>
        </w:tc>
        <w:tc>
          <w:tcPr>
            <w:tcW w:type="dxa" w:w="5112"/>
            <w:vAlign w:val="center"/>
            <w:shd w:fill="1A4B69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Responsabilidad principal</w:t>
            </w:r>
          </w:p>
        </w:tc>
        <w:tc>
          <w:tcPr>
            <w:tcW w:type="dxa" w:w="2304"/>
            <w:vAlign w:val="center"/>
            <w:shd w:fill="1A4B69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Actividades asociadas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Equipo de gestión territorial y comunitaria + profesionales de salud sexual y reproductiva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Coordinar el levantamiento y la verificación de la oferta institucional, consolidar el directorio y gestionar la validación con las entidades.</w:t>
            </w:r>
          </w:p>
        </w:tc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Actividades 1–5; apoyo a 11 y 12.</w:t>
            </w:r>
          </w:p>
        </w:tc>
      </w:tr>
      <w:tr>
        <w:tc>
          <w:tcPr>
            <w:tcW w:type="dxa" w:w="3168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Especialista en comunicaciones/digital + equipo de orientación psicosocial</w:t>
            </w:r>
          </w:p>
        </w:tc>
        <w:tc>
          <w:tcPr>
            <w:tcW w:type="dxa" w:w="5112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Definir los mensajes, diseñar piezas, revisar su pertinencia y confidencialidad, incorporar observaciones y ejecutar la difusión de contenidos aprobados.</w:t>
            </w:r>
          </w:p>
        </w:tc>
        <w:tc>
          <w:tcPr>
            <w:tcW w:type="dxa" w:w="2304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Actividades 6–10.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Profesionales en salud sexual y reproductiva/orientación psicosocial + gestores territoriales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Coordinar la logística, convocar a la población joven, brindar orientación individual, activar remisiones y hacer seguimiento.</w:t>
            </w:r>
          </w:p>
        </w:tc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Actividades 11–15.</w:t>
            </w:r>
          </w:p>
        </w:tc>
      </w:tr>
    </w:tbl>
    <w:p>
      <w:pPr>
        <w:spacing w:after="20"/>
      </w:pPr>
    </w:p>
    <w:p>
      <w:r>
        <w:t>Punto de control humano: la validación técnica del directorio debe realizarla el equipo responsable y, cuando sea posible, las instituciones fuente. Los contenidos de salud sexual y reproductiva deben contar con revisión técnica antes de publicarse. La IA puede apoyar la redacción o el diseño preliminar, pero no sustituye la validación profesional ni institucional.</w:t>
      </w:r>
    </w:p>
    <w:p>
      <w:pPr>
        <w:pStyle w:val="Heading1"/>
      </w:pPr>
      <w:r>
        <w:t>5. Necesidades de monitoreo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vAlign w:val="center"/>
            <w:shd w:fill="1A4B69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Aspecto por monitorear</w:t>
            </w:r>
          </w:p>
        </w:tc>
        <w:tc>
          <w:tcPr>
            <w:tcW w:type="dxa" w:w="3960"/>
            <w:vAlign w:val="center"/>
            <w:shd w:fill="1A4B69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Información requerida</w:t>
            </w:r>
          </w:p>
        </w:tc>
        <w:tc>
          <w:tcPr>
            <w:tcW w:type="dxa" w:w="4464"/>
            <w:vAlign w:val="center"/>
            <w:shd w:fill="1A4B69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Mecanismo de actualización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Directorio y ruta de servicios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Porcentaje de instituciones identificadas, verificadas y validadas; datos pendientes; fecha de última actualización; bloqueos y acción correctiva.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Crear Issues independientes para identificar, verificar, consolidar, validar y publicar. Actualizar semanalmente el estado en GitHub Projects y registrar bloqueos con etiqueta específica.</w:t>
            </w:r>
          </w:p>
        </w:tc>
      </w:tr>
      <w:tr>
        <w:tc>
          <w:tcPr>
            <w:tcW w:type="dxa" w:w="2232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Contenidos informativos</w:t>
            </w:r>
          </w:p>
        </w:tc>
        <w:tc>
          <w:tcPr>
            <w:tcW w:type="dxa" w:w="3960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Estado de cada pieza: borrador, en revisión, ajustes solicitados, aprobada, programada y publicada; responsable; fecha límite; evidencia de difusión.</w:t>
            </w:r>
          </w:p>
        </w:tc>
        <w:tc>
          <w:tcPr>
            <w:tcW w:type="dxa" w:w="4464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Crear un Issue por pieza o paquete claramente delimitado. No pasar a difusión hasta contar con aprobación. Si hay observaciones, abrir o activar una tarea de ajuste y dejar registro de los cambios.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Jornadas presenciales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Espacios, fechas y horarios confirmados; convocatoria realizada; jornadas ejecutadas; atenciones agregadas; remisiones y seguimiento; incidentes operativos.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Crear Issues separados para logística, convocatoria, ejecución, remisiones y seguimiento. Registrar cambios de fecha, dificultades de conectividad y acuerdos en los comentarios del Issue.</w:t>
            </w:r>
          </w:p>
        </w:tc>
      </w:tr>
    </w:tbl>
    <w:p>
      <w:pPr>
        <w:spacing w:after="20"/>
      </w:pPr>
    </w:p>
    <w:p>
      <w:pPr>
        <w:pStyle w:val="Heading1"/>
      </w:pPr>
      <w:r>
        <w:t>6. Insumos de San Gabriel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00"/>
            <w:vAlign w:val="center"/>
            <w:shd w:fill="1A4B69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Insumo</w:t>
            </w:r>
          </w:p>
        </w:tc>
        <w:tc>
          <w:tcPr>
            <w:tcW w:type="dxa" w:w="4752"/>
            <w:vAlign w:val="center"/>
            <w:shd w:fill="1A4B69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Utilidad en el sistema</w:t>
            </w:r>
          </w:p>
        </w:tc>
        <w:tc>
          <w:tcPr>
            <w:tcW w:type="dxa" w:w="2304"/>
            <w:vAlign w:val="center"/>
            <w:shd w:fill="1A4B69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Ubicación o enlace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Base de datos con registros territoriales (Guía 2) / escenario muestral adoptado (256 / 113 / 110 registros por dominio)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Dimensionar y segmentar geográficamente la población joven de 18 a 28 años en las zonas urbana consolidada, urbana periférica y centros poblados/rurales, para adaptar el directorio y las jornadas.</w:t>
            </w:r>
          </w:p>
        </w:tc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Archivo base del proyecto e informe modelo Canvas.</w:t>
            </w:r>
          </w:p>
        </w:tc>
      </w:tr>
      <w:tr>
        <w:tc>
          <w:tcPr>
            <w:tcW w:type="dxa" w:w="3600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Preferencias de canales de comunicación: WhatsApp con 43,5 % de uso ponderado y percepción de baja confiabilidad del 56,2 %</w:t>
            </w:r>
          </w:p>
        </w:tc>
        <w:tc>
          <w:tcPr>
            <w:tcW w:type="dxa" w:w="4752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Orientar la selección del canal prioritario y el diseño de mensajes claros, confiables y confidenciales.</w:t>
            </w:r>
          </w:p>
        </w:tc>
        <w:tc>
          <w:tcPr>
            <w:tcW w:type="dxa" w:w="2304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Presentación de propuesta preliminar, sección de demanda y canales.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Comodidad con atención presencial: 68,3 % de preferencia alta; demanda de orientación en planificación: 62,9 % en madres y padres jóvenes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Sustentar la programación de espacios físicos, horarios flexibles y jornadas itinerantes.</w:t>
            </w:r>
          </w:p>
        </w:tc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Lienzo Canvas consolidado y apartados de justificación y beneficios.</w:t>
            </w:r>
          </w:p>
        </w:tc>
      </w:tr>
    </w:tbl>
    <w:p>
      <w:pPr>
        <w:spacing w:after="20"/>
      </w:pPr>
    </w:p>
    <w:p>
      <w:r>
        <w:t>Nota: los porcentajes y tamaños muestrales se conservan tal como aparecen en la ficha de origen. Antes de su presentación externa, conviene confirmar su definición, denominador y fuente en los insumos originales.</w:t>
      </w:r>
    </w:p>
    <w:p>
      <w:pPr>
        <w:pStyle w:val="Heading1"/>
      </w:pPr>
      <w:r>
        <w:t>7. Ecosistema digital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center"/>
            <w:shd w:fill="1A4B69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Herramientas</w:t>
            </w:r>
          </w:p>
        </w:tc>
        <w:tc>
          <w:tcPr>
            <w:tcW w:type="dxa" w:w="4320"/>
            <w:vAlign w:val="center"/>
            <w:shd w:fill="1A4B69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Función prevista</w:t>
            </w:r>
          </w:p>
        </w:tc>
        <w:tc>
          <w:tcPr>
            <w:tcW w:type="dxa" w:w="3168"/>
            <w:vAlign w:val="center"/>
            <w:shd w:fill="1A4B69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Producto aportado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Notion / Google Drive + GitHub Projects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Centralizar la recolección, organización y validación del directorio; registrar acuerdos y monitorear las tareas.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Matriz del directorio por zona, actas o notas de validación y tablero Kanban con Issues independientes.</w:t>
            </w:r>
          </w:p>
        </w:tc>
      </w:tr>
      <w:tr>
        <w:tc>
          <w:tcPr>
            <w:tcW w:type="dxa" w:w="3168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Canva + ChatGPT/IA + WhatsApp Business / Meta Business Suite</w:t>
            </w:r>
          </w:p>
        </w:tc>
        <w:tc>
          <w:tcPr>
            <w:tcW w:type="dxa" w:w="4320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Apoyar el diseño preliminar, la redacción y la programación de contenidos multicanal, con revisión técnica humana antes de publicar.</w:t>
            </w:r>
          </w:p>
        </w:tc>
        <w:tc>
          <w:tcPr>
            <w:tcW w:type="dxa" w:w="3168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Repositorio de piezas aprobadas, textos finales, calendario de publicaciones y matriz de segmentación territorial.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Google Calendar / Calendly + Slack / Microsoft Teams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Coordinar espacios, fechas y horarios, así como la comunicación entre gestores territoriales y equipo psicosocial.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Cronograma de jornadas, ubicaciones confirmadas, formatos de asistencia y reportes agregados de orientación y remisiones.</w:t>
            </w:r>
          </w:p>
        </w:tc>
      </w:tr>
    </w:tbl>
    <w:p>
      <w:pPr>
        <w:spacing w:after="20"/>
      </w:pPr>
    </w:p>
    <w:p>
      <w:pPr>
        <w:pStyle w:val="Heading1"/>
      </w:pPr>
      <w:r>
        <w:t>8. Preparación y decisiones pendientes</w:t>
      </w:r>
    </w:p>
    <w:p>
      <w:pPr>
        <w:pStyle w:val="Heading2"/>
      </w:pPr>
      <w:r>
        <w:t>Información requerida para monitorear</w:t>
      </w:r>
    </w:p>
    <w:p>
      <w:pPr>
        <w:pStyle w:val="ListBullet"/>
        <w:spacing w:after="40"/>
      </w:pPr>
      <w:r>
        <w:t>Avance por Milestone de los productos clave: directorio y ruta de servicios, piezas informativas y jornadas presenciales.</w:t>
      </w:r>
    </w:p>
    <w:p>
      <w:pPr>
        <w:pStyle w:val="ListBullet"/>
        <w:spacing w:after="40"/>
      </w:pPr>
      <w:r>
        <w:t>Cumplimiento de fechas límite y estado de cada Issue (por hacer, en progreso, en revisión, bloqueado o terminado).</w:t>
      </w:r>
    </w:p>
    <w:p>
      <w:pPr>
        <w:pStyle w:val="ListBullet"/>
        <w:spacing w:after="40"/>
      </w:pPr>
      <w:r>
        <w:t>Responsable asignado, evidencia de cumplimiento y dependencias entre actividades.</w:t>
      </w:r>
    </w:p>
    <w:p>
      <w:pPr>
        <w:pStyle w:val="ListBullet"/>
        <w:spacing w:after="40"/>
      </w:pPr>
      <w:r>
        <w:t>Registro de validaciones, observaciones, ajustes solicitados y decisiones adoptadas.</w:t>
      </w:r>
    </w:p>
    <w:p>
      <w:pPr>
        <w:pStyle w:val="Heading2"/>
      </w:pPr>
      <w:r>
        <w:t>Incidencias previstas</w:t>
      </w:r>
    </w:p>
    <w:p>
      <w:pPr>
        <w:pStyle w:val="ListBullet"/>
        <w:spacing w:after="40"/>
      </w:pPr>
      <w:r>
        <w:t>Demoras de las entidades aliadas para confirmar la oferta de servicios, contactos y horarios.</w:t>
      </w:r>
    </w:p>
    <w:p>
      <w:pPr>
        <w:pStyle w:val="ListBullet"/>
        <w:spacing w:after="40"/>
      </w:pPr>
      <w:r>
        <w:t>Necesidad de corregir datos del directorio o ajustar contenidos tras la revisión técnica.</w:t>
      </w:r>
    </w:p>
    <w:p>
      <w:pPr>
        <w:pStyle w:val="ListBullet"/>
        <w:spacing w:after="40"/>
      </w:pPr>
      <w:r>
        <w:t>Problemas de conectividad en zonas rurales, baja participación juvenil o limitaciones logísticas.</w:t>
      </w:r>
    </w:p>
    <w:p>
      <w:pPr>
        <w:pStyle w:val="ListBullet"/>
        <w:spacing w:after="40"/>
      </w:pPr>
      <w:r>
        <w:t>Retrasos que afecten la secuencia de tareas o las fechas previstas de difusión y jornadas.</w:t>
      </w:r>
    </w:p>
    <w:p>
      <w:pPr>
        <w:pStyle w:val="Heading2"/>
      </w:pPr>
      <w:r>
        <w:t>Decisiones para configurar GitHub</w:t>
      </w:r>
    </w:p>
    <w:p>
      <w:pPr>
        <w:pStyle w:val="ListBullet"/>
        <w:spacing w:after="40"/>
      </w:pPr>
      <w:r>
        <w:t>Milestones: definir hitos por producto o fase (directorio y ruta; contenidos informativos; jornadas y seguimiento).</w:t>
      </w:r>
    </w:p>
    <w:p>
      <w:pPr>
        <w:pStyle w:val="ListBullet"/>
        <w:spacing w:after="40"/>
      </w:pPr>
      <w:r>
        <w:t>Issues: crear una tarea por cada actividad enumerada en la sección 2, asignando responsable, prioridad, fecha límite, etiquetas y evidencia esperada.</w:t>
      </w:r>
    </w:p>
    <w:p>
      <w:pPr>
        <w:pStyle w:val="ListBullet"/>
        <w:spacing w:after="40"/>
      </w:pPr>
      <w:r>
        <w:t>Dependencias: registrar que la validación precede a la publicación del directorio y que la difusión solo puede comenzar cuando los contenidos estén aprobados; los ajustes solicitados deben cerrarse antes de publicar.</w:t>
      </w:r>
    </w:p>
    <w:p>
      <w:pPr>
        <w:pStyle w:val="ListBullet"/>
        <w:spacing w:after="40"/>
      </w:pPr>
      <w:r>
        <w:t>Tablero: usar estados que permitan distinguir el trabajo en curso y la revisión, por ejemplo: Por hacer, En progreso, En revisión/validación, Ajustes requeridos, Listo para publicar y Terminado.</w:t>
      </w:r>
    </w:p>
    <w:p>
      <w:pPr>
        <w:pStyle w:val="ListBullet"/>
        <w:spacing w:after="40"/>
      </w:pPr>
      <w:r>
        <w:t>Decision Log: documentar en la Wiki o en los comentarios de los Issues los cambios metodológicos, acuerdos interinstitucionales y razones de las modificaciones.</w:t>
      </w:r>
    </w:p>
    <w:p>
      <w:pPr>
        <w:pStyle w:val="Heading1"/>
      </w:pPr>
      <w:r>
        <w:t>9. Lista de comprobación para iniciar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8352"/>
            <w:vAlign w:val="center"/>
            <w:shd w:fill="1A4B69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Condición de preparación</w:t>
            </w:r>
          </w:p>
        </w:tc>
        <w:tc>
          <w:tcPr>
            <w:tcW w:type="dxa" w:w="2160"/>
            <w:vAlign w:val="center"/>
            <w:shd w:fill="1A4B69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Comprobación</w:t>
            </w:r>
          </w:p>
        </w:tc>
      </w:tr>
      <w:tr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Los cuatro integrantes disponen de cuenta de GitHub.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</w:tr>
      <w:tr>
        <w:tc>
          <w:tcPr>
            <w:tcW w:type="dxa" w:w="8352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Los insumos pertinentes del Laboratorio están localizables.</w:t>
            </w:r>
          </w:p>
        </w:tc>
        <w:tc>
          <w:tcPr>
            <w:tcW w:type="dxa" w:w="2160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</w:tr>
      <w:tr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El equipo puede acceder a la carpeta colaborativa.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</w:tr>
      <w:tr>
        <w:tc>
          <w:tcPr>
            <w:tcW w:type="dxa" w:w="8352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Las actividades corresponden a la ejecución del proyecto y no al Laboratorio.</w:t>
            </w:r>
          </w:p>
        </w:tc>
        <w:tc>
          <w:tcPr>
            <w:tcW w:type="dxa" w:w="2160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</w:tr>
      <w:tr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Cada actividad puede asignarse y monitorearse de manera independiente.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Revisado en esta versión</w:t>
            </w:r>
          </w:p>
        </w:tc>
      </w:tr>
      <w:tr>
        <w:tc>
          <w:tcPr>
            <w:tcW w:type="dxa" w:w="8352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Las actividades de validación y ajuste aparecen antes de la difusión/publicación.</w:t>
            </w:r>
          </w:p>
        </w:tc>
        <w:tc>
          <w:tcPr>
            <w:tcW w:type="dxa" w:w="2160"/>
            <w:vAlign w:val="center"/>
            <w:shd w:fill="F1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Revisado en esta versión</w:t>
            </w:r>
          </w:p>
        </w:tc>
      </w:tr>
    </w:tbl>
    <w:p>
      <w:pPr>
        <w:spacing w:after="20"/>
      </w:pPr>
    </w:p>
    <w:p>
      <w:pPr>
        <w:pStyle w:val="Heading1"/>
      </w:pPr>
      <w:r>
        <w:t>Criterio aplicado a partir de la observación docente</w:t>
      </w:r>
    </w:p>
    <w:p>
      <w:r>
        <w:t>Las actividades que agrupaban varias acciones se desagregaron en tareas diferenciadas. Para el directorio se separaron identificación, verificación, consolidación, validación y ajuste/publicación. Para los contenidos se separaron definición, diseño, revisión y validación, rediseño cuando sea necesario y difusión. También se desagregaron las jornadas presenciales en logística, convocatoria, ejecución, remisión y seguimiento, con el fin de facilitar su asignación y trazabilidad en GitHub.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>Equipo 01_PJSSR002 · Ficha de preparación para GitHub · Versión ajustada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4B6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6688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A4B6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