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Controle de implementação das recomendações da banca</w:t>
      </w:r>
    </w:p>
    <w:p>
      <w:pPr>
        <w:ind w:firstLine="0"/>
      </w:pPr>
      <w:r>
        <w:t>Este documento registra a correspondência entre cada recomendação da banca, sua autoria e o estado verificável de implementação na versão revisada. Itens que dependem de dados ainda não fornecidos ou da execução do Estudo 02 são distinguidos de alterações textuais já concluídas.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35"/>
        <w:gridCol w:w="3535"/>
        <w:gridCol w:w="3535"/>
        <w:gridCol w:w="3535"/>
      </w:tblGrid>
      <w:tr>
        <w:tc>
          <w:tcPr>
            <w:tcW w:type="dxa" w:w="5102"/>
            <w:shd w:fill="1F4E78"/>
            <w:vAlign w:val="center"/>
          </w:tcPr>
          <w:p>
            <w:r>
              <w:rPr>
                <w:b/>
                <w:color w:val="FFFFFF"/>
              </w:rPr>
              <w:t>Recomendação</w:t>
            </w:r>
          </w:p>
        </w:tc>
        <w:tc>
          <w:tcPr>
            <w:tcW w:type="dxa" w:w="2835"/>
            <w:shd w:fill="1F4E78"/>
            <w:vAlign w:val="center"/>
          </w:tcPr>
          <w:p>
            <w:r>
              <w:rPr>
                <w:b/>
                <w:color w:val="FFFFFF"/>
              </w:rPr>
              <w:t>Solicitante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535"/>
            <w:shd w:fill="1F4E78"/>
            <w:vAlign w:val="center"/>
          </w:tcPr>
          <w:p>
            <w:r>
              <w:rPr>
                <w:b/>
                <w:color w:val="FFFFFF"/>
              </w:rPr>
              <w:t>Evidência ou pendência</w:t>
            </w:r>
          </w:p>
        </w:tc>
      </w:tr>
      <w:tr>
        <w:tc>
          <w:tcPr>
            <w:tcW w:type="dxa" w:w="5102"/>
            <w:vAlign w:val="center"/>
          </w:tcPr>
          <w:p>
            <w:r>
              <w:t>Corrigir citações sobre o SARSB e separar evidência contextual de inferência causal.</w:t>
            </w:r>
          </w:p>
        </w:tc>
        <w:tc>
          <w:tcPr>
            <w:tcW w:type="dxa" w:w="2835"/>
            <w:vAlign w:val="center"/>
          </w:tcPr>
          <w:p>
            <w:r>
              <w:t>Profa. Lina Garcés Rodríguez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Seção 1.1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Documentar a prova de conceito e análises anteriores.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Profa. Lina Garcés Rodríguez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Implementado parcialmente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PoC descrita; capturas não estavam disponíveis no conjunto fornecido.</w:t>
            </w:r>
          </w:p>
        </w:tc>
      </w:tr>
      <w:tr>
        <w:tc>
          <w:tcPr>
            <w:tcW w:type="dxa" w:w="5102"/>
            <w:vAlign w:val="center"/>
          </w:tcPr>
          <w:p>
            <w:r>
              <w:t>Fundamentar redocumentação, sistemas legados, multiagentes, agentes e JavaDoc.</w:t>
            </w:r>
          </w:p>
        </w:tc>
        <w:tc>
          <w:tcPr>
            <w:tcW w:type="dxa" w:w="2835"/>
            <w:vAlign w:val="center"/>
          </w:tcPr>
          <w:p>
            <w:r>
              <w:t>Profa. Lina Garcés Rodríguez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Seções 2.4 a 2.6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Separar fundamentação teórica e trabalhos relacionados.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Profa. Lina Garcés Rodríguez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Implementado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Seção 2.7</w:t>
            </w:r>
          </w:p>
        </w:tc>
      </w:tr>
      <w:tr>
        <w:tc>
          <w:tcPr>
            <w:tcW w:type="dxa" w:w="5102"/>
            <w:vAlign w:val="center"/>
          </w:tcPr>
          <w:p>
            <w:r>
              <w:t>Comparar trabalhos próximos e declarar diferença e contribuição.</w:t>
            </w:r>
          </w:p>
        </w:tc>
        <w:tc>
          <w:tcPr>
            <w:tcW w:type="dxa" w:w="2835"/>
            <w:vAlign w:val="center"/>
          </w:tcPr>
          <w:p>
            <w:r>
              <w:t>Profa. Lina Garcés Rodríguez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Tabela de trabalhos relacionados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Alinhar objetivos, perguntas, métodos, dados e conclusões.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Profa. Lina Garcés Rodríguez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Implementado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Seções 1.2, 1.3 e 3.2</w:t>
            </w:r>
          </w:p>
        </w:tc>
      </w:tr>
      <w:tr>
        <w:tc>
          <w:tcPr>
            <w:tcW w:type="dxa" w:w="5102"/>
            <w:vAlign w:val="center"/>
          </w:tcPr>
          <w:p>
            <w:r>
              <w:t>Formalizar o desenho do grupo focal.</w:t>
            </w:r>
          </w:p>
        </w:tc>
        <w:tc>
          <w:tcPr>
            <w:tcW w:type="dxa" w:w="2835"/>
            <w:vAlign w:val="center"/>
          </w:tcPr>
          <w:p>
            <w:r>
              <w:t>Profa. Lina Garcés Rodríguez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Seção 3.5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Incorporar materiais metodológicos no texto.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Profa. Lina Garcés Rodríguez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Implementado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Capítulo 3</w:t>
            </w:r>
          </w:p>
        </w:tc>
      </w:tr>
      <w:tr>
        <w:tc>
          <w:tcPr>
            <w:tcW w:type="dxa" w:w="5102"/>
            <w:vAlign w:val="center"/>
          </w:tcPr>
          <w:p>
            <w:r>
              <w:t>Planejar o Estudo 02 antes da coleta.</w:t>
            </w:r>
          </w:p>
        </w:tc>
        <w:tc>
          <w:tcPr>
            <w:tcW w:type="dxa" w:w="2835"/>
            <w:vAlign w:val="center"/>
          </w:tcPr>
          <w:p>
            <w:r>
              <w:t>Profa. Lina Garcés Rodríguez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Seção 3.7 e Capítulo 5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Acrescentar ameaças à validade, limitações e dificuldades.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Profa. Lina Garcés Rodríguez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Implementado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Seção 3.8 e Capítulo 6</w:t>
            </w:r>
          </w:p>
        </w:tc>
      </w:tr>
      <w:tr>
        <w:tc>
          <w:tcPr>
            <w:tcW w:type="dxa" w:w="5102"/>
            <w:vAlign w:val="center"/>
          </w:tcPr>
          <w:p>
            <w:r>
              <w:t>Explicar arquitetura, agentes, papéis, decisões e fluxo.</w:t>
            </w:r>
          </w:p>
        </w:tc>
        <w:tc>
          <w:tcPr>
            <w:tcW w:type="dxa" w:w="2835"/>
            <w:vAlign w:val="center"/>
          </w:tcPr>
          <w:p>
            <w:r>
              <w:t>Profa. Lina Garcés Rodríguez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Seções 2.5 e 3.4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Distinguir contribuição da dissertação e do projeto maior.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Profa. Lina Garcés Rodríguez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Implementado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Seção 1.4</w:t>
            </w:r>
          </w:p>
        </w:tc>
      </w:tr>
      <w:tr>
        <w:tc>
          <w:tcPr>
            <w:tcW w:type="dxa" w:w="5102"/>
            <w:vAlign w:val="center"/>
          </w:tcPr>
          <w:p>
            <w:r>
              <w:t>Esclarecer o objeto de estudo.</w:t>
            </w:r>
          </w:p>
        </w:tc>
        <w:tc>
          <w:tcPr>
            <w:tcW w:type="dxa" w:w="2835"/>
            <w:vAlign w:val="center"/>
          </w:tcPr>
          <w:p>
            <w:r>
              <w:t>Profa. Lina Garcés Rodríguez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Seção 3.1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Explicitar contribuições locais, acadêmicas, industriais e públicas.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Profa. Lina Garcés Rodríguez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Implementado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Capítulo 6</w:t>
            </w:r>
          </w:p>
        </w:tc>
      </w:tr>
      <w:tr>
        <w:tc>
          <w:tcPr>
            <w:tcW w:type="dxa" w:w="5102"/>
            <w:vAlign w:val="center"/>
          </w:tcPr>
          <w:p>
            <w:r>
              <w:t>Dar maior assertividade e justificar cada etapa.</w:t>
            </w:r>
          </w:p>
        </w:tc>
        <w:tc>
          <w:tcPr>
            <w:tcW w:type="dxa" w:w="2835"/>
            <w:vAlign w:val="center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Revisão de problema, método e fluxo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Definir documentação técnica e delimitar a JavaDocs.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Implementado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Seções 1.2 e 3.1</w:t>
            </w:r>
          </w:p>
        </w:tc>
      </w:tr>
      <w:tr>
        <w:tc>
          <w:tcPr>
            <w:tcW w:type="dxa" w:w="5102"/>
            <w:vAlign w:val="center"/>
          </w:tcPr>
          <w:p>
            <w:r>
              <w:t>Remover testes manuais e APIs do núcleo empírico.</w:t>
            </w:r>
          </w:p>
        </w:tc>
        <w:tc>
          <w:tcPr>
            <w:tcW w:type="dxa" w:w="2835"/>
            <w:vAlign w:val="center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Escopo delimitado a JavaDocs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Reescrever objetivos para reduzir dispersão.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Implementado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Seção 1.3</w:t>
            </w:r>
          </w:p>
        </w:tc>
      </w:tr>
      <w:tr>
        <w:tc>
          <w:tcPr>
            <w:tcW w:type="dxa" w:w="5102"/>
            <w:vAlign w:val="center"/>
          </w:tcPr>
          <w:p>
            <w:r>
              <w:t>Caracterizar o SARSB.</w:t>
            </w:r>
          </w:p>
        </w:tc>
        <w:tc>
          <w:tcPr>
            <w:tcW w:type="dxa" w:w="2835"/>
            <w:vAlign w:val="center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Seção 1.1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Estabelecer baseline documental.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Implementado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9 de 1.478 alvos com JavaDoc</w:t>
            </w:r>
          </w:p>
        </w:tc>
      </w:tr>
      <w:tr>
        <w:tc>
          <w:tcPr>
            <w:tcW w:type="dxa" w:w="5102"/>
            <w:vAlign w:val="center"/>
          </w:tcPr>
          <w:p>
            <w:r>
              <w:t>Apresentar exemplos concretos de JavaDocs úteis, redundantes e indevidos.</w:t>
            </w:r>
          </w:p>
        </w:tc>
        <w:tc>
          <w:tcPr>
            <w:tcW w:type="dxa" w:w="2835"/>
            <w:vAlign w:val="center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</w:tcPr>
          <w:p>
            <w:r>
              <w:t>Implementado parcialmente</w:t>
            </w:r>
          </w:p>
        </w:tc>
        <w:tc>
          <w:tcPr>
            <w:tcW w:type="dxa" w:w="4535"/>
            <w:vAlign w:val="center"/>
          </w:tcPr>
          <w:p>
            <w:r>
              <w:t>Situações e evidências concretas; trechos integrais dependem de autorização institucional.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Explicar a classificação de cada exemplo.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Implementado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Tabela da Seção 4.4</w:t>
            </w:r>
          </w:p>
        </w:tc>
      </w:tr>
      <w:tr>
        <w:tc>
          <w:tcPr>
            <w:tcW w:type="dxa" w:w="5102"/>
            <w:vAlign w:val="center"/>
          </w:tcPr>
          <w:p>
            <w:r>
              <w:t>Descrever o pipeline de ponta a ponta.</w:t>
            </w:r>
          </w:p>
        </w:tc>
        <w:tc>
          <w:tcPr>
            <w:tcW w:type="dxa" w:w="2835"/>
            <w:vAlign w:val="center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Seção 3.4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Explicar a amostra de dez classes e a única Merge Request.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Implementado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Seção 3.6</w:t>
            </w:r>
          </w:p>
        </w:tc>
      </w:tr>
      <w:tr>
        <w:tc>
          <w:tcPr>
            <w:tcW w:type="dxa" w:w="5102"/>
            <w:vAlign w:val="center"/>
          </w:tcPr>
          <w:p>
            <w:r>
              <w:t>Justificar a necessidade e os papéis dos agentes.</w:t>
            </w:r>
          </w:p>
        </w:tc>
        <w:tc>
          <w:tcPr>
            <w:tcW w:type="dxa" w:w="2835"/>
            <w:vAlign w:val="center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Seção 2.5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Registrar controles contra alterações fora do escopo.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Implementado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Seção 3.4</w:t>
            </w:r>
          </w:p>
        </w:tc>
      </w:tr>
      <w:tr>
        <w:tc>
          <w:tcPr>
            <w:tcW w:type="dxa" w:w="5102"/>
            <w:vAlign w:val="center"/>
          </w:tcPr>
          <w:p>
            <w:r>
              <w:t>Fortalecer a apresentação acadêmica dos resultados.</w:t>
            </w:r>
          </w:p>
        </w:tc>
        <w:tc>
          <w:tcPr>
            <w:tcW w:type="dxa" w:w="2835"/>
            <w:vAlign w:val="center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Capítulo 4 reestruturado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Quantificar categorias, participantes, classes e problemas.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Implementado parcialmente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Corpus e execução quantificados; exportação ATLAS.ti de citações está vazia.</w:t>
            </w:r>
          </w:p>
        </w:tc>
      </w:tr>
      <w:tr>
        <w:tc>
          <w:tcPr>
            <w:tcW w:type="dxa" w:w="5102"/>
            <w:vAlign w:val="center"/>
          </w:tcPr>
          <w:p>
            <w:r>
              <w:t>Usar categorias do Estudo 01 no Estudo 02.</w:t>
            </w:r>
          </w:p>
        </w:tc>
        <w:tc>
          <w:tcPr>
            <w:tcW w:type="dxa" w:w="2835"/>
            <w:vAlign w:val="center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Seção 3.7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Ampliar a classificação de artefatos.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Planejado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Depende da coleta do Estudo 02.</w:t>
            </w:r>
          </w:p>
        </w:tc>
      </w:tr>
      <w:tr>
        <w:tc>
          <w:tcPr>
            <w:tcW w:type="dxa" w:w="5102"/>
            <w:vAlign w:val="center"/>
          </w:tcPr>
          <w:p>
            <w:r>
              <w:t>Criar rastreabilidade entre achado, mudança e resultado.</w:t>
            </w:r>
          </w:p>
        </w:tc>
        <w:tc>
          <w:tcPr>
            <w:tcW w:type="dxa" w:w="2835"/>
            <w:vAlign w:val="center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Tabela da Seção 4.5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Comparar e quantificar versões do pipeline.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Prof. João Eduardo Montandon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Planejado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Métricas definidas; resultados dependem da execução do Estudo 02.</w:t>
            </w:r>
          </w:p>
        </w:tc>
      </w:tr>
      <w:tr>
        <w:tc>
          <w:tcPr>
            <w:tcW w:type="dxa" w:w="5102"/>
            <w:vAlign w:val="center"/>
          </w:tcPr>
          <w:p>
            <w:r>
              <w:t>Concentrar a validação em JavaDocs.</w:t>
            </w:r>
          </w:p>
        </w:tc>
        <w:tc>
          <w:tcPr>
            <w:tcW w:type="dxa" w:w="2835"/>
            <w:vAlign w:val="center"/>
          </w:tcPr>
          <w:p>
            <w:r>
              <w:t>Prof. Rodrigo Bonifácio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Todo o núcleo empírico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Explicitar autoria compartilhada do pipeline.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Prof. Rodrigo Bonifácio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Implementado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Seção 1.4</w:t>
            </w:r>
          </w:p>
        </w:tc>
      </w:tr>
      <w:tr>
        <w:tc>
          <w:tcPr>
            <w:tcW w:type="dxa" w:w="5102"/>
            <w:vAlign w:val="center"/>
          </w:tcPr>
          <w:p>
            <w:r>
              <w:t>Documentar pipeline e amostragem.</w:t>
            </w:r>
          </w:p>
        </w:tc>
        <w:tc>
          <w:tcPr>
            <w:tcW w:type="dxa" w:w="2835"/>
            <w:vAlign w:val="center"/>
          </w:tcPr>
          <w:p>
            <w:r>
              <w:t>Prof. Rodrigo Bonifácio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Seções 3.4 e 3.6</w:t>
            </w:r>
          </w:p>
        </w:tc>
      </w:tr>
      <w:tr>
        <w:tc>
          <w:tcPr>
            <w:tcW w:type="dxa" w:w="5102"/>
            <w:vAlign w:val="center"/>
            <w:shd w:fill="EAF2F8"/>
          </w:tcPr>
          <w:p>
            <w:r>
              <w:t>Aplicar achados do Estudo 01 ao refinamento.</w:t>
            </w:r>
          </w:p>
        </w:tc>
        <w:tc>
          <w:tcPr>
            <w:tcW w:type="dxa" w:w="2835"/>
            <w:vAlign w:val="center"/>
            <w:shd w:fill="EAF2F8"/>
          </w:tcPr>
          <w:p>
            <w:r>
              <w:t>Prof. Rodrigo Bonifácio</w:t>
            </w:r>
          </w:p>
        </w:tc>
        <w:tc>
          <w:tcPr>
            <w:tcW w:type="dxa" w:w="2268"/>
            <w:vAlign w:val="center"/>
            <w:shd w:fill="EAF2F8"/>
          </w:tcPr>
          <w:p>
            <w:r>
              <w:t>Implementado no planejamento</w:t>
            </w:r>
          </w:p>
        </w:tc>
        <w:tc>
          <w:tcPr>
            <w:tcW w:type="dxa" w:w="4535"/>
            <w:vAlign w:val="center"/>
            <w:shd w:fill="EAF2F8"/>
          </w:tcPr>
          <w:p>
            <w:r>
              <w:t>Mudanças e medidas especificadas para o Estudo 02.</w:t>
            </w:r>
          </w:p>
        </w:tc>
      </w:tr>
      <w:tr>
        <w:tc>
          <w:tcPr>
            <w:tcW w:type="dxa" w:w="5102"/>
            <w:vAlign w:val="center"/>
          </w:tcPr>
          <w:p>
            <w:r>
              <w:t>Evitar desvios de escopo e conceitos sem função analítica.</w:t>
            </w:r>
          </w:p>
        </w:tc>
        <w:tc>
          <w:tcPr>
            <w:tcW w:type="dxa" w:w="2835"/>
            <w:vAlign w:val="center"/>
          </w:tcPr>
          <w:p>
            <w:r>
              <w:t>Prof. Rodrigo Bonifácio</w:t>
            </w:r>
          </w:p>
        </w:tc>
        <w:tc>
          <w:tcPr>
            <w:tcW w:type="dxa" w:w="2268"/>
            <w:vAlign w:val="center"/>
          </w:tcPr>
          <w:p>
            <w:r>
              <w:t>Implementado</w:t>
            </w:r>
          </w:p>
        </w:tc>
        <w:tc>
          <w:tcPr>
            <w:tcW w:type="dxa" w:w="4535"/>
            <w:vAlign w:val="center"/>
          </w:tcPr>
          <w:p>
            <w:r>
              <w:t>Escopo reduzido e conceitos definidos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t>Síntese: 31 recomendações implementadas, 3 implementadas parcialmente e 2 planejadas por dependerem de nova coleta ou execução experimental.</w:t>
      </w:r>
    </w:p>
    <w:sectPr w:rsidR="00FC693F" w:rsidRPr="0006063C" w:rsidSect="00034616">
      <w:footerReference w:type="default" r:id="rId9"/>
      <w:pgSz w:w="15840" w:h="12240" w:orient="landscape"/>
      <w:pgMar w:top="1417" w:right="850" w:bottom="141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</w:pPr>
    <w:rPr>
      <w:rFonts w:ascii="Times New Roman" w:hAnsi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