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1A155" w14:textId="77777777" w:rsidR="00A80575" w:rsidRPr="001B0D4B" w:rsidRDefault="00A80575" w:rsidP="00A805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B0D4B">
        <w:rPr>
          <w:rFonts w:eastAsia="Times New Roman" w:cstheme="minorHAnsi"/>
          <w:b/>
          <w:bCs/>
          <w:sz w:val="24"/>
          <w:szCs w:val="24"/>
          <w:lang w:eastAsia="pt-BR"/>
        </w:rPr>
        <w:t>A Cidade como Construção Histórica e Desafio Contemporâneo</w:t>
      </w:r>
    </w:p>
    <w:p w14:paraId="59B718D0" w14:textId="77777777" w:rsidR="00A80575" w:rsidRPr="001B0D4B" w:rsidRDefault="00A80575" w:rsidP="00A805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B0D4B">
        <w:rPr>
          <w:rFonts w:eastAsia="Times New Roman" w:cstheme="minorHAnsi"/>
          <w:sz w:val="24"/>
          <w:szCs w:val="24"/>
          <w:lang w:eastAsia="pt-BR"/>
        </w:rPr>
        <w:t xml:space="preserve">A construção do conceito de cidade ao longo da história passa por diversas etapas que envolvem aspectos sociais, políticos, culturais e econômicos. Inicialmente, na Grécia Antiga, surge o conceito de </w:t>
      </w:r>
      <w:r w:rsidRPr="001B0D4B">
        <w:rPr>
          <w:rFonts w:eastAsia="Times New Roman" w:cstheme="minorHAnsi"/>
          <w:b/>
          <w:bCs/>
          <w:sz w:val="24"/>
          <w:szCs w:val="24"/>
          <w:lang w:eastAsia="pt-BR"/>
        </w:rPr>
        <w:t>pólis</w:t>
      </w:r>
      <w:r w:rsidRPr="001B0D4B">
        <w:rPr>
          <w:rFonts w:eastAsia="Times New Roman" w:cstheme="minorHAnsi"/>
          <w:sz w:val="24"/>
          <w:szCs w:val="24"/>
          <w:lang w:eastAsia="pt-BR"/>
        </w:rPr>
        <w:t xml:space="preserve">, que representava a cidade-estado como centro da vida política e filosófica. Era na pólis que os cidadãos exerciam o </w:t>
      </w:r>
      <w:proofErr w:type="spellStart"/>
      <w:r w:rsidRPr="001B0D4B">
        <w:rPr>
          <w:rFonts w:eastAsia="Times New Roman" w:cstheme="minorHAnsi"/>
          <w:b/>
          <w:bCs/>
          <w:sz w:val="24"/>
          <w:szCs w:val="24"/>
          <w:lang w:eastAsia="pt-BR"/>
        </w:rPr>
        <w:t>otium</w:t>
      </w:r>
      <w:proofErr w:type="spellEnd"/>
      <w:r w:rsidRPr="001B0D4B">
        <w:rPr>
          <w:rFonts w:eastAsia="Times New Roman" w:cstheme="minorHAnsi"/>
          <w:sz w:val="24"/>
          <w:szCs w:val="24"/>
          <w:lang w:eastAsia="pt-BR"/>
        </w:rPr>
        <w:t xml:space="preserve">, ou seja, o tempo livre dedicado à reflexão, à participação política e à cultura. Esse modelo contrasta com o período romano, no qual a noção de </w:t>
      </w:r>
      <w:proofErr w:type="spellStart"/>
      <w:r w:rsidRPr="001B0D4B">
        <w:rPr>
          <w:rFonts w:eastAsia="Times New Roman" w:cstheme="minorHAnsi"/>
          <w:b/>
          <w:bCs/>
          <w:sz w:val="24"/>
          <w:szCs w:val="24"/>
          <w:lang w:eastAsia="pt-BR"/>
        </w:rPr>
        <w:t>civitas</w:t>
      </w:r>
      <w:proofErr w:type="spellEnd"/>
      <w:r w:rsidRPr="001B0D4B">
        <w:rPr>
          <w:rFonts w:eastAsia="Times New Roman" w:cstheme="minorHAnsi"/>
          <w:sz w:val="24"/>
          <w:szCs w:val="24"/>
          <w:lang w:eastAsia="pt-BR"/>
        </w:rPr>
        <w:t xml:space="preserve"> se consolidou como o conjunto de cidadãos sob um mesmo ordenamento jurídico. Nesse contexto, destaca-se o conceito de </w:t>
      </w:r>
      <w:r w:rsidRPr="001B0D4B">
        <w:rPr>
          <w:rFonts w:eastAsia="Times New Roman" w:cstheme="minorHAnsi"/>
          <w:b/>
          <w:bCs/>
          <w:sz w:val="24"/>
          <w:szCs w:val="24"/>
          <w:lang w:eastAsia="pt-BR"/>
        </w:rPr>
        <w:t>nomos</w:t>
      </w:r>
      <w:r w:rsidRPr="001B0D4B">
        <w:rPr>
          <w:rFonts w:eastAsia="Times New Roman" w:cstheme="minorHAnsi"/>
          <w:sz w:val="24"/>
          <w:szCs w:val="24"/>
          <w:lang w:eastAsia="pt-BR"/>
        </w:rPr>
        <w:t>, que diz respeito às leis e normas que regulavam a convivência urbana.</w:t>
      </w:r>
    </w:p>
    <w:p w14:paraId="603FC2B8" w14:textId="77777777" w:rsidR="00A80575" w:rsidRPr="001B0D4B" w:rsidRDefault="00A80575" w:rsidP="00A805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B0D4B">
        <w:rPr>
          <w:rFonts w:eastAsia="Times New Roman" w:cstheme="minorHAnsi"/>
          <w:sz w:val="24"/>
          <w:szCs w:val="24"/>
          <w:lang w:eastAsia="pt-BR"/>
        </w:rPr>
        <w:t xml:space="preserve">Antes mesmo da consolidação das cidades, a organização social era baseada nos </w:t>
      </w:r>
      <w:proofErr w:type="spellStart"/>
      <w:r w:rsidRPr="001B0D4B">
        <w:rPr>
          <w:rFonts w:eastAsia="Times New Roman" w:cstheme="minorHAnsi"/>
          <w:b/>
          <w:bCs/>
          <w:sz w:val="24"/>
          <w:szCs w:val="24"/>
          <w:lang w:eastAsia="pt-BR"/>
        </w:rPr>
        <w:t>génos</w:t>
      </w:r>
      <w:proofErr w:type="spellEnd"/>
      <w:r w:rsidRPr="001B0D4B">
        <w:rPr>
          <w:rFonts w:eastAsia="Times New Roman" w:cstheme="minorHAnsi"/>
          <w:sz w:val="24"/>
          <w:szCs w:val="24"/>
          <w:lang w:eastAsia="pt-BR"/>
        </w:rPr>
        <w:t xml:space="preserve">, que eram grupos familiares com forte vínculo de sangue e tradição. À medida que a sociedade evolui para formas mais complexas de convivência, o espaço urbano vai ganhando novas camadas de significado. O contraste entre </w:t>
      </w:r>
      <w:proofErr w:type="spellStart"/>
      <w:r w:rsidRPr="001B0D4B">
        <w:rPr>
          <w:rFonts w:eastAsia="Times New Roman" w:cstheme="minorHAnsi"/>
          <w:b/>
          <w:bCs/>
          <w:sz w:val="24"/>
          <w:szCs w:val="24"/>
          <w:lang w:eastAsia="pt-BR"/>
        </w:rPr>
        <w:t>otium</w:t>
      </w:r>
      <w:proofErr w:type="spellEnd"/>
      <w:r w:rsidRPr="001B0D4B">
        <w:rPr>
          <w:rFonts w:eastAsia="Times New Roman" w:cstheme="minorHAnsi"/>
          <w:sz w:val="24"/>
          <w:szCs w:val="24"/>
          <w:lang w:eastAsia="pt-BR"/>
        </w:rPr>
        <w:t xml:space="preserve"> e </w:t>
      </w:r>
      <w:proofErr w:type="spellStart"/>
      <w:r w:rsidRPr="001B0D4B">
        <w:rPr>
          <w:rFonts w:eastAsia="Times New Roman" w:cstheme="minorHAnsi"/>
          <w:b/>
          <w:bCs/>
          <w:sz w:val="24"/>
          <w:szCs w:val="24"/>
          <w:lang w:eastAsia="pt-BR"/>
        </w:rPr>
        <w:t>negotium</w:t>
      </w:r>
      <w:proofErr w:type="spellEnd"/>
      <w:r w:rsidRPr="001B0D4B">
        <w:rPr>
          <w:rFonts w:eastAsia="Times New Roman" w:cstheme="minorHAnsi"/>
          <w:sz w:val="24"/>
          <w:szCs w:val="24"/>
          <w:lang w:eastAsia="pt-BR"/>
        </w:rPr>
        <w:t xml:space="preserve"> também passa a representar a dualidade entre o tempo dedicado ao pensamento e ao lazer, e o tempo voltado às atividades práticas e comerciais.</w:t>
      </w:r>
    </w:p>
    <w:p w14:paraId="091E00E9" w14:textId="77777777" w:rsidR="00A80575" w:rsidRPr="001B0D4B" w:rsidRDefault="00A80575" w:rsidP="00A805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B0D4B">
        <w:rPr>
          <w:rFonts w:eastAsia="Times New Roman" w:cstheme="minorHAnsi"/>
          <w:sz w:val="24"/>
          <w:szCs w:val="24"/>
          <w:lang w:eastAsia="pt-BR"/>
        </w:rPr>
        <w:t xml:space="preserve">Com o avanço da urbanização, surge a </w:t>
      </w:r>
      <w:r w:rsidRPr="001B0D4B">
        <w:rPr>
          <w:rFonts w:eastAsia="Times New Roman" w:cstheme="minorHAnsi"/>
          <w:b/>
          <w:bCs/>
          <w:sz w:val="24"/>
          <w:szCs w:val="24"/>
          <w:lang w:eastAsia="pt-BR"/>
        </w:rPr>
        <w:t>metrópole</w:t>
      </w:r>
      <w:r w:rsidRPr="001B0D4B">
        <w:rPr>
          <w:rFonts w:eastAsia="Times New Roman" w:cstheme="minorHAnsi"/>
          <w:sz w:val="24"/>
          <w:szCs w:val="24"/>
          <w:lang w:eastAsia="pt-BR"/>
        </w:rPr>
        <w:t xml:space="preserve">, caracterizada pela intensa concentração populacional, diversidade de atividades e desafios como mobilidade, poluição e desigualdade social. A partir daí, desenvolve-se o conceito de </w:t>
      </w:r>
      <w:r w:rsidRPr="001B0D4B">
        <w:rPr>
          <w:rFonts w:eastAsia="Times New Roman" w:cstheme="minorHAnsi"/>
          <w:b/>
          <w:bCs/>
          <w:sz w:val="24"/>
          <w:szCs w:val="24"/>
          <w:lang w:eastAsia="pt-BR"/>
        </w:rPr>
        <w:t>cidade-território</w:t>
      </w:r>
      <w:r w:rsidRPr="001B0D4B">
        <w:rPr>
          <w:rFonts w:eastAsia="Times New Roman" w:cstheme="minorHAnsi"/>
          <w:sz w:val="24"/>
          <w:szCs w:val="24"/>
          <w:lang w:eastAsia="pt-BR"/>
        </w:rPr>
        <w:t>, que ultrapassa os limites físicos da cidade e passa a considerar as redes regionais interconectadas, exigindo um planejamento mais abrangente e sistêmico.</w:t>
      </w:r>
    </w:p>
    <w:p w14:paraId="28236B6B" w14:textId="2A344873" w:rsidR="007946E5" w:rsidRPr="001B0D4B" w:rsidRDefault="00A80575" w:rsidP="00A805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B0D4B">
        <w:rPr>
          <w:rFonts w:eastAsia="Times New Roman" w:cstheme="minorHAnsi"/>
          <w:sz w:val="24"/>
          <w:szCs w:val="24"/>
          <w:lang w:eastAsia="pt-BR"/>
        </w:rPr>
        <w:t xml:space="preserve">No contexto contemporâneo, discute-se o conceito de </w:t>
      </w:r>
      <w:r w:rsidRPr="001B0D4B">
        <w:rPr>
          <w:rFonts w:eastAsia="Times New Roman" w:cstheme="minorHAnsi"/>
          <w:b/>
          <w:bCs/>
          <w:sz w:val="24"/>
          <w:szCs w:val="24"/>
          <w:lang w:eastAsia="pt-BR"/>
        </w:rPr>
        <w:t>cidades inteligentes e sustentáveis</w:t>
      </w:r>
      <w:r w:rsidRPr="001B0D4B">
        <w:rPr>
          <w:rFonts w:eastAsia="Times New Roman" w:cstheme="minorHAnsi"/>
          <w:sz w:val="24"/>
          <w:szCs w:val="24"/>
          <w:lang w:eastAsia="pt-BR"/>
        </w:rPr>
        <w:t xml:space="preserve">, conforme abordado por Carlos Leite (2012), que destaca a importância do uso de tecnologias digitais para promover eficiência urbana, inclusão social e preservação ambiental. Essas cidades propõem uma governança participativa, planejamento urbano integrado e o uso consciente dos recursos naturais, articulando inovação com sustentabilidade. Dessa forma, percebe-se que a trajetória histórica das cidades, desde os </w:t>
      </w:r>
      <w:proofErr w:type="spellStart"/>
      <w:r w:rsidRPr="001B0D4B">
        <w:rPr>
          <w:rFonts w:eastAsia="Times New Roman" w:cstheme="minorHAnsi"/>
          <w:sz w:val="24"/>
          <w:szCs w:val="24"/>
          <w:lang w:eastAsia="pt-BR"/>
        </w:rPr>
        <w:t>génos</w:t>
      </w:r>
      <w:proofErr w:type="spellEnd"/>
      <w:r w:rsidRPr="001B0D4B">
        <w:rPr>
          <w:rFonts w:eastAsia="Times New Roman" w:cstheme="minorHAnsi"/>
          <w:sz w:val="24"/>
          <w:szCs w:val="24"/>
          <w:lang w:eastAsia="pt-BR"/>
        </w:rPr>
        <w:t xml:space="preserve"> até as cidades inteligentes, revela uma constante transformação dos modos de viver e habitar o espaço urbano.</w:t>
      </w:r>
    </w:p>
    <w:p w14:paraId="28EFD848" w14:textId="77777777" w:rsidR="00A80575" w:rsidRPr="001B0D4B" w:rsidRDefault="00A80575" w:rsidP="00A805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B0D4B">
        <w:rPr>
          <w:rFonts w:eastAsia="Times New Roman" w:cstheme="minorHAnsi"/>
          <w:b/>
          <w:bCs/>
          <w:sz w:val="24"/>
          <w:szCs w:val="24"/>
          <w:lang w:eastAsia="pt-BR"/>
        </w:rPr>
        <w:t>Referências</w:t>
      </w:r>
    </w:p>
    <w:p w14:paraId="1449096B" w14:textId="77777777" w:rsidR="00A80575" w:rsidRPr="001B0D4B" w:rsidRDefault="00A80575" w:rsidP="00A805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B0D4B">
        <w:rPr>
          <w:rFonts w:eastAsia="Times New Roman" w:cstheme="minorHAnsi"/>
          <w:sz w:val="24"/>
          <w:szCs w:val="24"/>
          <w:lang w:eastAsia="pt-BR"/>
        </w:rPr>
        <w:t xml:space="preserve">LEITE, Carlos. </w:t>
      </w:r>
      <w:r w:rsidRPr="001B0D4B">
        <w:rPr>
          <w:rFonts w:eastAsia="Times New Roman" w:cstheme="minorHAnsi"/>
          <w:i/>
          <w:iCs/>
          <w:sz w:val="24"/>
          <w:szCs w:val="24"/>
          <w:lang w:eastAsia="pt-BR"/>
        </w:rPr>
        <w:t>Cidades sustentáveis, cidades inteligentes: desenvolvimento sustentável num planeta urbano</w:t>
      </w:r>
      <w:r w:rsidRPr="001B0D4B">
        <w:rPr>
          <w:rFonts w:eastAsia="Times New Roman" w:cstheme="minorHAnsi"/>
          <w:sz w:val="24"/>
          <w:szCs w:val="24"/>
          <w:lang w:eastAsia="pt-BR"/>
        </w:rPr>
        <w:t>. 1. ed. Porto Alegre: Bookman, 2012. Capítulo 7, p. 169-191.</w:t>
      </w:r>
    </w:p>
    <w:p w14:paraId="50FAF761" w14:textId="77777777" w:rsidR="00A80575" w:rsidRPr="001B0D4B" w:rsidRDefault="00A80575" w:rsidP="00A805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B0D4B">
        <w:rPr>
          <w:rFonts w:eastAsia="Times New Roman" w:cstheme="minorHAnsi"/>
          <w:sz w:val="24"/>
          <w:szCs w:val="24"/>
          <w:lang w:eastAsia="pt-BR"/>
        </w:rPr>
        <w:t xml:space="preserve">SÓFOCLES. </w:t>
      </w:r>
      <w:r w:rsidRPr="001B0D4B">
        <w:rPr>
          <w:rFonts w:eastAsia="Times New Roman" w:cstheme="minorHAnsi"/>
          <w:i/>
          <w:iCs/>
          <w:sz w:val="24"/>
          <w:szCs w:val="24"/>
          <w:lang w:eastAsia="pt-BR"/>
        </w:rPr>
        <w:t>Antígona</w:t>
      </w:r>
      <w:r w:rsidRPr="001B0D4B">
        <w:rPr>
          <w:rFonts w:eastAsia="Times New Roman" w:cstheme="minorHAnsi"/>
          <w:sz w:val="24"/>
          <w:szCs w:val="24"/>
          <w:lang w:eastAsia="pt-BR"/>
        </w:rPr>
        <w:t xml:space="preserve">. Tradução de Mário da Gama </w:t>
      </w:r>
      <w:proofErr w:type="spellStart"/>
      <w:r w:rsidRPr="001B0D4B">
        <w:rPr>
          <w:rFonts w:eastAsia="Times New Roman" w:cstheme="minorHAnsi"/>
          <w:sz w:val="24"/>
          <w:szCs w:val="24"/>
          <w:lang w:eastAsia="pt-BR"/>
        </w:rPr>
        <w:t>Kury</w:t>
      </w:r>
      <w:proofErr w:type="spellEnd"/>
      <w:r w:rsidRPr="001B0D4B">
        <w:rPr>
          <w:rFonts w:eastAsia="Times New Roman" w:cstheme="minorHAnsi"/>
          <w:sz w:val="24"/>
          <w:szCs w:val="24"/>
          <w:lang w:eastAsia="pt-BR"/>
        </w:rPr>
        <w:t xml:space="preserve">. 2. ed. São Paulo: Difusão </w:t>
      </w:r>
      <w:proofErr w:type="spellStart"/>
      <w:r w:rsidRPr="001B0D4B">
        <w:rPr>
          <w:rFonts w:eastAsia="Times New Roman" w:cstheme="minorHAnsi"/>
          <w:sz w:val="24"/>
          <w:szCs w:val="24"/>
          <w:lang w:eastAsia="pt-BR"/>
        </w:rPr>
        <w:t>Européia</w:t>
      </w:r>
      <w:proofErr w:type="spellEnd"/>
      <w:r w:rsidRPr="001B0D4B">
        <w:rPr>
          <w:rFonts w:eastAsia="Times New Roman" w:cstheme="minorHAnsi"/>
          <w:sz w:val="24"/>
          <w:szCs w:val="24"/>
          <w:lang w:eastAsia="pt-BR"/>
        </w:rPr>
        <w:t xml:space="preserve"> do Livro, 1961.</w:t>
      </w:r>
    </w:p>
    <w:p w14:paraId="1C7660BE" w14:textId="38F91B0D" w:rsidR="00A80575" w:rsidRPr="001B0D4B" w:rsidRDefault="00A80575" w:rsidP="00A805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B0D4B">
        <w:rPr>
          <w:rFonts w:eastAsia="Times New Roman" w:cstheme="minorHAnsi"/>
          <w:sz w:val="24"/>
          <w:szCs w:val="24"/>
          <w:lang w:eastAsia="pt-BR"/>
        </w:rPr>
        <w:t xml:space="preserve">GIACOIA JR., Osvaldo. </w:t>
      </w:r>
      <w:r w:rsidRPr="001B0D4B">
        <w:rPr>
          <w:rFonts w:eastAsia="Times New Roman" w:cstheme="minorHAnsi"/>
          <w:i/>
          <w:iCs/>
          <w:sz w:val="24"/>
          <w:szCs w:val="24"/>
          <w:lang w:eastAsia="pt-BR"/>
        </w:rPr>
        <w:t>Um outro humano, uma nova ética, um novo tempo</w:t>
      </w:r>
      <w:r w:rsidRPr="001B0D4B">
        <w:rPr>
          <w:rFonts w:eastAsia="Times New Roman" w:cstheme="minorHAnsi"/>
          <w:sz w:val="24"/>
          <w:szCs w:val="24"/>
          <w:lang w:eastAsia="pt-BR"/>
        </w:rPr>
        <w:t xml:space="preserve">. Entrevista. Revista IHU Online, n. 361, 2011. Disponível em: </w:t>
      </w:r>
      <w:hyperlink r:id="rId4" w:tgtFrame="_new" w:history="1">
        <w:r w:rsidRPr="001B0D4B">
          <w:rPr>
            <w:rFonts w:eastAsia="Times New Roman" w:cstheme="minorHAnsi"/>
            <w:color w:val="0000FF"/>
            <w:sz w:val="24"/>
            <w:szCs w:val="24"/>
            <w:u w:val="single"/>
            <w:lang w:eastAsia="pt-BR"/>
          </w:rPr>
          <w:t>https://www.ihuonline.unisinos.br/artigo/7637-um-outro-humano-uma-nova-etica-um-novo-tempo</w:t>
        </w:r>
      </w:hyperlink>
      <w:r w:rsidRPr="001B0D4B">
        <w:rPr>
          <w:rFonts w:eastAsia="Times New Roman" w:cstheme="minorHAnsi"/>
          <w:sz w:val="24"/>
          <w:szCs w:val="24"/>
          <w:lang w:eastAsia="pt-BR"/>
        </w:rPr>
        <w:t>.</w:t>
      </w:r>
    </w:p>
    <w:sectPr w:rsidR="00A80575" w:rsidRPr="001B0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99"/>
    <w:rsid w:val="001B0D4B"/>
    <w:rsid w:val="007946E5"/>
    <w:rsid w:val="00A80575"/>
    <w:rsid w:val="00DB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828CD"/>
  <w15:chartTrackingRefBased/>
  <w15:docId w15:val="{07125CFA-9EF6-4F81-8FC2-5A04D350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80575"/>
    <w:rPr>
      <w:b/>
      <w:bCs/>
    </w:rPr>
  </w:style>
  <w:style w:type="character" w:styleId="nfase">
    <w:name w:val="Emphasis"/>
    <w:basedOn w:val="Fontepargpadro"/>
    <w:uiPriority w:val="20"/>
    <w:qFormat/>
    <w:rsid w:val="00A80575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805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huonline.unisinos.br/artigo/7637-um-outro-humano-uma-nova-etica-um-novo-temp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444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3</cp:revision>
  <dcterms:created xsi:type="dcterms:W3CDTF">2025-04-15T20:36:00Z</dcterms:created>
  <dcterms:modified xsi:type="dcterms:W3CDTF">2025-04-15T20:39:00Z</dcterms:modified>
</cp:coreProperties>
</file>