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 w:line="360" w:lineRule="exact"/>
        <w:jc w:val="center"/>
      </w:pPr>
      <w:r>
        <w:rPr>
          <w:rFonts w:ascii="Arial" w:hAnsi="Arial"/>
          <w:b/>
          <w:sz w:val="24"/>
        </w:rPr>
        <w:t>PONTIFÍCIA UNIVERSIDADE CATÓLICA</w:t>
      </w:r>
    </w:p>
    <w:p>
      <w:pPr>
        <w:spacing w:before="0" w:after="1200" w:line="360" w:lineRule="exact"/>
        <w:jc w:val="center"/>
      </w:pPr>
      <w:r>
        <w:rPr>
          <w:rFonts w:ascii="Arial" w:hAnsi="Arial"/>
          <w:b w:val="0"/>
          <w:sz w:val="24"/>
        </w:rPr>
        <w:t>Projeto Integrador — Sistemas Distribuídos e Arquitetura de Software</w:t>
      </w:r>
    </w:p>
    <w:p>
      <w:pPr>
        <w:spacing w:before="0" w:after="400" w:line="360" w:lineRule="exact"/>
        <w:jc w:val="center"/>
      </w:pPr>
      <w:r>
        <w:rPr>
          <w:rFonts w:ascii="Arial" w:hAnsi="Arial"/>
          <w:b/>
          <w:sz w:val="28"/>
        </w:rPr>
        <w:t>RELATÓRIO TÉCNICO FINAL</w:t>
      </w:r>
    </w:p>
    <w:p>
      <w:pPr>
        <w:spacing w:before="0" w:after="1600" w:line="360" w:lineRule="exact"/>
        <w:jc w:val="center"/>
      </w:pPr>
      <w:r>
        <w:rPr>
          <w:rFonts w:ascii="Arial" w:hAnsi="Arial"/>
          <w:b w:val="0"/>
          <w:sz w:val="24"/>
        </w:rPr>
        <w:t>Sistema de Agendamento de Viagens com Negociação em Tempo Real</w:t>
      </w:r>
    </w:p>
    <w:p>
      <w:pPr>
        <w:spacing w:before="0" w:after="80" w:line="360" w:lineRule="exact"/>
        <w:jc w:val="center"/>
      </w:pPr>
      <w:r>
        <w:rPr>
          <w:rFonts w:ascii="Arial" w:hAnsi="Arial"/>
          <w:b w:val="0"/>
          <w:sz w:val="24"/>
        </w:rPr>
        <w:t>Murilo A. Machado</w:t>
      </w:r>
    </w:p>
    <w:p>
      <w:pPr>
        <w:spacing w:before="0" w:after="0" w:line="360" w:lineRule="exact"/>
        <w:jc w:val="center"/>
      </w:pPr>
      <w:r>
        <w:rPr>
          <w:rFonts w:ascii="Arial" w:hAnsi="Arial"/>
          <w:b w:val="0"/>
          <w:sz w:val="24"/>
        </w:rPr>
        <w:t>Belo Horizonte, 2026</w:t>
      </w:r>
    </w:p>
    <w:p>
      <w:r>
        <w:br w:type="page"/>
      </w:r>
    </w:p>
    <w:p>
      <w:pPr>
        <w:spacing w:before="0" w:after="240" w:line="360" w:lineRule="exact"/>
        <w:jc w:val="center"/>
      </w:pPr>
      <w:r>
        <w:rPr>
          <w:rFonts w:ascii="Arial" w:hAnsi="Arial"/>
          <w:b/>
          <w:sz w:val="24"/>
        </w:rPr>
        <w:t>SUMÁRIO</w:t>
      </w:r>
    </w:p>
    <w:p>
      <w:pPr>
        <w:spacing w:after="40" w:line="320" w:lineRule="exact"/>
      </w:pPr>
      <w:r>
        <w:rPr>
          <w:rFonts w:ascii="Arial" w:hAnsi="Arial"/>
          <w:sz w:val="24"/>
        </w:rPr>
        <w:t>1  Introdução</w:t>
      </w:r>
    </w:p>
    <w:p>
      <w:pPr>
        <w:spacing w:after="40" w:line="320" w:lineRule="exact"/>
      </w:pPr>
      <w:r>
        <w:rPr>
          <w:rFonts w:ascii="Arial" w:hAnsi="Arial"/>
          <w:sz w:val="24"/>
        </w:rPr>
        <w:t>2  Arquitetura Implementada</w:t>
      </w:r>
    </w:p>
    <w:p>
      <w:pPr>
        <w:spacing w:after="40" w:line="320" w:lineRule="exact"/>
      </w:pPr>
      <w:r>
        <w:rPr>
          <w:rFonts w:ascii="Arial" w:hAnsi="Arial"/>
          <w:sz w:val="24"/>
        </w:rPr>
        <w:t xml:space="preserve">   2.1  Visão Geral do Sistema</w:t>
      </w:r>
    </w:p>
    <w:p>
      <w:pPr>
        <w:spacing w:after="40" w:line="320" w:lineRule="exact"/>
      </w:pPr>
      <w:r>
        <w:rPr>
          <w:rFonts w:ascii="Arial" w:hAnsi="Arial"/>
          <w:sz w:val="24"/>
        </w:rPr>
        <w:t xml:space="preserve">   2.2  Backend: Node.js / Express / Prisma</w:t>
      </w:r>
    </w:p>
    <w:p>
      <w:pPr>
        <w:spacing w:after="40" w:line="320" w:lineRule="exact"/>
      </w:pPr>
      <w:r>
        <w:rPr>
          <w:rFonts w:ascii="Arial" w:hAnsi="Arial"/>
          <w:sz w:val="24"/>
        </w:rPr>
        <w:t xml:space="preserve">   2.3  Mensageria: RabbitMQ (MOM)</w:t>
      </w:r>
    </w:p>
    <w:p>
      <w:pPr>
        <w:spacing w:after="40" w:line="320" w:lineRule="exact"/>
      </w:pPr>
      <w:r>
        <w:rPr>
          <w:rFonts w:ascii="Arial" w:hAnsi="Arial"/>
          <w:sz w:val="24"/>
        </w:rPr>
        <w:t xml:space="preserve">   2.4  Frontend Mobile: Flutter e Clean Architecture</w:t>
      </w:r>
    </w:p>
    <w:p>
      <w:pPr>
        <w:spacing w:after="40" w:line="320" w:lineRule="exact"/>
      </w:pPr>
      <w:r>
        <w:rPr>
          <w:rFonts w:ascii="Arial" w:hAnsi="Arial"/>
          <w:sz w:val="24"/>
        </w:rPr>
        <w:t>3  Decisões de Design</w:t>
      </w:r>
    </w:p>
    <w:p>
      <w:pPr>
        <w:spacing w:after="40" w:line="320" w:lineRule="exact"/>
      </w:pPr>
      <w:r>
        <w:rPr>
          <w:rFonts w:ascii="Arial" w:hAnsi="Arial"/>
          <w:sz w:val="24"/>
        </w:rPr>
        <w:t>4  Dificuldades Encontradas e Soluções Adotadas</w:t>
      </w:r>
    </w:p>
    <w:p>
      <w:pPr>
        <w:spacing w:after="40" w:line="320" w:lineRule="exact"/>
      </w:pPr>
      <w:r>
        <w:rPr>
          <w:rFonts w:ascii="Arial" w:hAnsi="Arial"/>
          <w:sz w:val="24"/>
        </w:rPr>
        <w:t xml:space="preserve">   4.1  Integração da Mensageria com o Fluxo de Eventos</w:t>
      </w:r>
    </w:p>
    <w:p>
      <w:pPr>
        <w:spacing w:after="40" w:line="320" w:lineRule="exact"/>
      </w:pPr>
      <w:r>
        <w:rPr>
          <w:rFonts w:ascii="Arial" w:hAnsi="Arial"/>
          <w:sz w:val="24"/>
        </w:rPr>
        <w:t xml:space="preserve">   4.2  Entendimento e Aplicação do Modelo MOM</w:t>
      </w:r>
    </w:p>
    <w:p>
      <w:pPr>
        <w:spacing w:after="40" w:line="320" w:lineRule="exact"/>
      </w:pPr>
      <w:r>
        <w:rPr>
          <w:rFonts w:ascii="Arial" w:hAnsi="Arial"/>
          <w:sz w:val="24"/>
        </w:rPr>
        <w:t xml:space="preserve">   4.3  Consistência entre Banco de Dados e Eventos Publicados</w:t>
      </w:r>
    </w:p>
    <w:p>
      <w:pPr>
        <w:spacing w:after="40" w:line="320" w:lineRule="exact"/>
      </w:pPr>
      <w:r>
        <w:rPr>
          <w:rFonts w:ascii="Arial" w:hAnsi="Arial"/>
          <w:sz w:val="24"/>
        </w:rPr>
        <w:t>5  Reflexão sobre Padrões Estudados</w:t>
      </w:r>
    </w:p>
    <w:p>
      <w:pPr>
        <w:spacing w:after="40" w:line="320" w:lineRule="exact"/>
      </w:pPr>
      <w:r>
        <w:rPr>
          <w:rFonts w:ascii="Arial" w:hAnsi="Arial"/>
          <w:sz w:val="24"/>
        </w:rPr>
        <w:t>6  Conclusão</w:t>
      </w:r>
    </w:p>
    <w:p>
      <w:pPr>
        <w:spacing w:after="40" w:line="320" w:lineRule="exact"/>
      </w:pPr>
      <w:r>
        <w:rPr>
          <w:rFonts w:ascii="Arial" w:hAnsi="Arial"/>
          <w:sz w:val="24"/>
        </w:rPr>
        <w:t>7  Referências Bibliográficas</w:t>
      </w:r>
    </w:p>
    <w:p>
      <w:r>
        <w:br w:type="page"/>
      </w:r>
    </w:p>
    <w:p>
      <w:pPr>
        <w:spacing w:before="360" w:after="120" w:line="360" w:lineRule="exact"/>
        <w:jc w:val="left"/>
      </w:pPr>
      <w:r>
        <w:rPr>
          <w:rFonts w:ascii="Arial" w:hAnsi="Arial"/>
          <w:b/>
          <w:sz w:val="24"/>
        </w:rPr>
        <w:t>1. INTRODUÇÃO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O presente relatório descreve o desenvolvimento do Projeto Integrador da disciplina de Sistemas Distribuídos e Arquitetura de Software. O objetivo foi construir um sistema completo de agendamento e negociação de viagens, compreendendo um backend RESTful, um mecanismo de mensageria assíncrona e um aplicativo móvel multiplataforma.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O sistema permite que clientes publiquem demandas de viagem informando origem, destino, valor inicial e datas; motoristas visualizam essas demandas, enviam propostas de preço e negociam até que ambas as partes aceitem um valor. Ao aceitar, uma viagem confirmada é gerada com código único de confirmação e notificações automáticas são disparadas em cada etapa do fluxo.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A solução integra Arquitetura Orientada a Eventos (EDA), Middleware Orientado a Mensagens (MOM) com RabbitMQ, Clean Architecture em camadas e comunicação REST. Este relatório documenta as escolhas arquiteturais, os principais desafios técnicos e uma reflexão crítica sobre os padrões estudados na disciplina.</w:t>
      </w:r>
    </w:p>
    <w:p>
      <w:pPr>
        <w:spacing w:before="360" w:after="120" w:line="360" w:lineRule="exact"/>
        <w:jc w:val="left"/>
      </w:pPr>
      <w:r>
        <w:rPr>
          <w:rFonts w:ascii="Arial" w:hAnsi="Arial"/>
          <w:b/>
          <w:sz w:val="24"/>
        </w:rPr>
        <w:t>2. ARQUITETURA IMPLEMENTADA</w:t>
      </w:r>
    </w:p>
    <w:p>
      <w:pPr>
        <w:spacing w:before="240" w:after="80"/>
        <w:jc w:val="left"/>
      </w:pPr>
      <w:r>
        <w:rPr>
          <w:rFonts w:ascii="Arial" w:hAnsi="Arial"/>
          <w:b/>
          <w:sz w:val="24"/>
        </w:rPr>
        <w:t>2.1 Visão Geral do Sistema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O sistema é composto por três componentes que se comunicam de forma síncrona (REST) e assíncrona (RabbitMQ): a API backend em Node.js/Express, o broker RabbitMQ e o aplicativo Flutter. O fluxo principal funciona da seguinte forma: o cliente cria uma demanda via app; o backend persiste e publica o evento PROPOSAL_CREATED no exchange notifications.events; o worker de notificações consome o evento e cria registros para todos os motoristas. Quando uma negociação é aceita, o evento NEGOTIATION_ACCEPTED é publicado, a viagem confirmada é criada no banco e ambas as partes recebem notificação.</w:t>
      </w:r>
    </w:p>
    <w:p>
      <w:pPr>
        <w:spacing w:before="240" w:after="80"/>
        <w:jc w:val="left"/>
      </w:pPr>
      <w:r>
        <w:rPr>
          <w:rFonts w:ascii="Arial" w:hAnsi="Arial"/>
          <w:b/>
          <w:sz w:val="24"/>
        </w:rPr>
        <w:t>2.2 Backend: Node.js / Express / Prisma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O backend segue uma estrutura em camadas: Routes definem os endpoints HTTP; Controllers recebem e validam requisições; Services contêm a lógica de negócio e publicam eventos; Repositories encapsulam toda interação com o banco via Prisma Client. O middleware de autenticação JWT intercepta rotas protegidas, extrai id e role do token e injeta em req.user, centralizando a autorização sem repetição nos controllers.</w:t>
      </w:r>
    </w:p>
    <w:p>
      <w:pPr>
        <w:spacing w:before="240" w:after="80"/>
        <w:jc w:val="left"/>
      </w:pPr>
      <w:r>
        <w:rPr>
          <w:rFonts w:ascii="Arial" w:hAnsi="Arial"/>
          <w:b/>
          <w:sz w:val="24"/>
        </w:rPr>
        <w:t>2.3 Mensageria: RabbitMQ (MOM)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O RabbitMQService implementa o padrão Singleton e encapsula connect() com retentativas exponenciais, publishToExchange(), consumeMessage() e bindQueue(). A topologia usa um único topic exchange (notifications.events) com fila durável (notifications.persistence) vinculada pelo padrão "#". Os produtores publicam com routing keys proposal.created, negotiation.created e negotiation.accepted; o worker despacha para o handler correto via handleEvent() do NotificationService. Mensagens são publicadas com persistent: true e filas com durable: true, garantindo durabilidade em reinicializações do broker. O consumidor usa prefetch(1) e faz nack com requeue em falhas.</w:t>
      </w:r>
    </w:p>
    <w:p>
      <w:pPr>
        <w:spacing w:before="240" w:after="80"/>
        <w:jc w:val="left"/>
      </w:pPr>
      <w:r>
        <w:rPr>
          <w:rFonts w:ascii="Arial" w:hAnsi="Arial"/>
          <w:b/>
          <w:sz w:val="24"/>
        </w:rPr>
        <w:t>2.4 Frontend Mobile: Flutter e Clean Architecture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O aplicativo Flutter é organizado por feature, cada uma com suas subcamadas: Domínio (entidades e interfaces puras em Dart, sem dependência de frameworks externos), Dados (implementações de repositório, chamadas HTTP e mappers JSON) e Apresentação (Pages, ViewModels com ChangeNotifier e injeção via Provider). O roteamento é baseado em papéis: após login, o AuthViewModel verifica o campo role e navega para ClientHomePage ou DriverHomePage, reagindo reativamente via Consumer&lt;AuthViewModel&gt;.</w:t>
      </w:r>
    </w:p>
    <w:p>
      <w:pPr>
        <w:spacing w:before="360" w:after="120" w:line="360" w:lineRule="exact"/>
        <w:jc w:val="left"/>
      </w:pPr>
      <w:r>
        <w:rPr>
          <w:rFonts w:ascii="Arial" w:hAnsi="Arial"/>
          <w:b/>
          <w:sz w:val="24"/>
        </w:rPr>
        <w:t>3. DECISÕES DE DESIGN</w:t>
      </w:r>
    </w:p>
    <w:p>
      <w:pPr>
        <w:spacing w:before="240" w:after="80"/>
        <w:jc w:val="left"/>
      </w:pPr>
      <w:r>
        <w:rPr>
          <w:rFonts w:ascii="Arial" w:hAnsi="Arial"/>
          <w:b/>
          <w:sz w:val="24"/>
        </w:rPr>
        <w:t>3.1 Flutter e Provider / MVVM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Flutter foi escolhido pela capacidade de gerar binários nativos para Android e iOS a partir de uma única base Dart. O gerenciamento de estado foi implementado com Provider, utilizando ChangeNotifierProvider.value nas páginas filhas para evitar recriação do ViewModel a cada build, garantindo continuidade do estado durante transições de navegação.</w:t>
      </w:r>
    </w:p>
    <w:p>
      <w:pPr>
        <w:spacing w:before="240" w:after="80"/>
        <w:jc w:val="left"/>
      </w:pPr>
      <w:r>
        <w:rPr>
          <w:rFonts w:ascii="Arial" w:hAnsi="Arial"/>
          <w:b/>
          <w:sz w:val="24"/>
        </w:rPr>
        <w:t>3.2 RabbitMQ como Broker de Eventos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O RabbitMQ foi escolhido por sua maturidade, suporte a filas duráveis e exchanges topic com roteamento por routing keys. A topologia de exchange único com padrão "#" permite adicionar novos tipos de eventos sem alterar a infraestrutura. Em produção, o worker de notificações seria um processo separado e escalável horizontalmente.</w:t>
      </w:r>
    </w:p>
    <w:p>
      <w:pPr>
        <w:spacing w:before="240" w:after="80"/>
        <w:jc w:val="left"/>
      </w:pPr>
      <w:r>
        <w:rPr>
          <w:rFonts w:ascii="Arial" w:hAnsi="Arial"/>
          <w:b/>
          <w:sz w:val="24"/>
        </w:rPr>
        <w:t>3.3 Autenticação JWT e Controle de Papel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A autenticação stateless via JWT elimina sessões no servidor, favorecendo escalabilidade horizontal. O token carrega id, email e role, tornando cada requisição autossuficiente. No mobile, o token é mantido em memória (AuthSession) e passado via construtor entre páginas, simplificando o logout — basta nulificar a sessão no AuthViewModel.</w:t>
      </w:r>
    </w:p>
    <w:p>
      <w:pPr>
        <w:spacing w:before="240" w:after="80"/>
        <w:jc w:val="left"/>
      </w:pPr>
      <w:r>
        <w:rPr>
          <w:rFonts w:ascii="Arial" w:hAnsi="Arial"/>
          <w:b/>
          <w:sz w:val="24"/>
        </w:rPr>
        <w:t>3.4 PostgreSQL com Prisma ORM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O PostgreSQL foi adotado por robustez e suporte a transações ACID. O Prisma ORM oferece type-safety end-to-end: o schema.prisma gera tipos TypeScript, eliminando erros de runtime por acesso incorreto a campos. Os Repositories encapsulam todas as queries, garantindo testabilidade isolada da camada de persistência.</w:t>
      </w:r>
    </w:p>
    <w:p>
      <w:pPr>
        <w:spacing w:before="360" w:after="120" w:line="360" w:lineRule="exact"/>
        <w:jc w:val="left"/>
      </w:pPr>
      <w:r>
        <w:rPr>
          <w:rFonts w:ascii="Arial" w:hAnsi="Arial"/>
          <w:b/>
          <w:sz w:val="24"/>
        </w:rPr>
        <w:t>4. DIFICULDADES ENCONTRADAS E SOLUÇÕES ADOTADAS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Os principais desafios do projeto foram relacionados à integração da mensageria assíncrona com o fluxo de eventos do domínio e à compreensão do paradigma MOM, que exige uma mudança significativa em relação ao desenvolvimento web tradicional baseado em chamadas síncronas.</w:t>
      </w:r>
    </w:p>
    <w:p>
      <w:pPr>
        <w:spacing w:before="240" w:after="80"/>
        <w:jc w:val="left"/>
      </w:pPr>
      <w:r>
        <w:rPr>
          <w:rFonts w:ascii="Arial" w:hAnsi="Arial"/>
          <w:b/>
          <w:sz w:val="24"/>
        </w:rPr>
        <w:t>4.1 Integração da Mensageria com o Fluxo de Eventos do Domínio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O primeiro desafio foi definir como os eventos de domínio seriam publicados no RabbitMQ sem criar acoplamento rígido entre os serviços de negócio e a infraestrutura de mensageria. Na implementação inicial, os serviços chamavam o NotificationService de forma síncrona, o que significava que qualquer falha no broker interromperia a resposta HTTP ao cliente — violando o princípio de que o fluxo principal de negócio não deve depender de sistemas auxiliares.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A solução adotada foi inverter essa dependência: os serviços de domínio (TravelProposalService, NegotiationService) publicam eventos no exchange via RabbitMQService, e o worker de notificações consome esses eventos de forma completamente independente. Com isso, uma indisponibilidade do RabbitMQ degrada o sistema graciosamente — as notificações deixam de ser enviadas, mas o fluxo principal de criação de propostas e negociações permanece operante.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Outro desafio foi sincronizar o ciclo de vida da conexão com o broker ao ciclo de vida do servidor Express. O RabbitMQService foi implementado como Singleton com reconexão por retentativa, garantindo que eventos publicados logo após o startup não sejam descartados por uma conexão ainda não estabelecida.</w:t>
      </w:r>
    </w:p>
    <w:p>
      <w:pPr>
        <w:spacing w:before="240" w:after="80"/>
        <w:jc w:val="left"/>
      </w:pPr>
      <w:r>
        <w:rPr>
          <w:rFonts w:ascii="Arial" w:hAnsi="Arial"/>
          <w:b/>
          <w:sz w:val="24"/>
        </w:rPr>
        <w:t>4.2 Entendimento e Aplicação do Modelo MOM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O conceito de Message-Oriented Middleware exigiu uma mudança de paradigma em relação ao desenvolvimento web tradicional. Em REST, o produtor faz uma chamada síncrona e aguarda resposta imediata; em MOM, o produtor publica uma mensagem e não sabe quando — nem se — ela será processada. Essa assincronicidade desacopla os componentes, mas introduz complexidade na observabilidade e no rastreamento de falhas, uma vez que o erro pode ocorrer em um processo completamente diferente do que originou o evento.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A definição da topologia de filas e exchanges foi outro ponto de aprendizado intenso. Foi necessário compreender as diferenças entre direct exchange, fanout e topic exchange, e avaliar o trade-off entre flexibilidade e complexidade. O modelo de topic exchange com uma única fila vinculada pelo padrão "#" foi adotado por sua extensibilidade: adicionar um novo tipo de evento requer apenas publicar com uma nova routing key, sem alterações na infraestrutura da fila ou do consumidor.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A compreensão dos modos de acknowledgment (ack, nack, reject) e do controle de fluxo via prefetch também exigiu estudo aprofundado. O prefetch configurado em 1 mensagem por vez garante processamento sequencial e evita sobrecarga do worker, dado que cada evento envolve múltiplas operações de persistência no banco de dados. Sem esse controle, o broker poderia entregar centenas de mensagens simultaneamente a um único consumidor, causando contenção no banco e falhas em cascata.</w:t>
      </w:r>
    </w:p>
    <w:p>
      <w:pPr>
        <w:spacing w:before="240" w:after="80"/>
        <w:jc w:val="left"/>
      </w:pPr>
      <w:r>
        <w:rPr>
          <w:rFonts w:ascii="Arial" w:hAnsi="Arial"/>
          <w:b/>
          <w:sz w:val="24"/>
        </w:rPr>
        <w:t>4.3 Consistência entre Banco de Dados e Eventos Publicados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O desafio mais sutil foi garantir consistência entre a escrita no PostgreSQL e a publicação do evento no RabbitMQ. No fluxo atual, o serviço primeiro persiste a entidade no banco e depois publica o evento. Se a publicação falhar após a escrita bem-sucedida, a notificação correspondente nunca será enviada — sem que o cliente da API perceba, pois a resposta HTTP já foi retornada com sucesso.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Esse é um problema clássico de sistemas distribuídos conhecido como dual write problem (Kleppmann, 2017): é impossível garantir atomicidade entre uma escrita em banco relacional e uma publicação em broker externo sem padrões como Outbox Pattern ou Two-Phase Commit. Para o escopo do projeto, o risco foi aceito como débito técnico documentado.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A idempotência do consumidor foi outro aspecto identificado: se uma mensagem for reprocessada após falha e requeue, notificações duplicadas seriam criadas. A ausência de Dead Letter Queue (DLQ) agrava esse risco, pois mensagens que falham repetidamente ficam em loop de reprocessamento indefinido. A implementação de DLQ e verificação de idempotência por negotiationId foi identificada como prioridade de evolução futura.</w:t>
      </w:r>
    </w:p>
    <w:p>
      <w:pPr>
        <w:spacing w:before="360" w:after="120" w:line="360" w:lineRule="exact"/>
        <w:jc w:val="left"/>
      </w:pPr>
      <w:r>
        <w:rPr>
          <w:rFonts w:ascii="Arial" w:hAnsi="Arial"/>
          <w:b/>
          <w:sz w:val="24"/>
        </w:rPr>
        <w:t>5. REFLEXÃO SOBRE PADRÕES ESTUDADOS</w:t>
      </w:r>
    </w:p>
    <w:p>
      <w:pPr>
        <w:spacing w:before="240" w:after="80"/>
        <w:jc w:val="left"/>
      </w:pPr>
      <w:r>
        <w:rPr>
          <w:rFonts w:ascii="Arial" w:hAnsi="Arial"/>
          <w:b/>
          <w:sz w:val="24"/>
        </w:rPr>
        <w:t>5.1 Event-Driven Architecture (EDA)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A EDA define um estilo arquitetural em que os componentes se comunicam por eventos — ocorrências que representam mudanças de estado relevantes no domínio (Hohpe &amp; Woolf, 2003). Os eventos do sistema são PROPOSAL_CREATED, NEGOTIATION_CREATED e NEGOTIATION_ACCEPTED. A adoção de EDA trouxe desacoplamento temporal: o TravelProposalService não aguarda o processamento de notificações para retornar a resposta HTTP, melhorando a latência percebida. Em comparação com chamadas síncronas diretas, a EDA permite que novos consumidores sejam adicionados sem modificar o produtor — o Open/Closed Principle aplicado à arquitetura de sistema (Martin, 2017).</w:t>
      </w:r>
    </w:p>
    <w:p>
      <w:pPr>
        <w:spacing w:before="240" w:after="80"/>
        <w:jc w:val="left"/>
      </w:pPr>
      <w:r>
        <w:rPr>
          <w:rFonts w:ascii="Arial" w:hAnsi="Arial"/>
          <w:b/>
          <w:sz w:val="24"/>
        </w:rPr>
        <w:t>5.2 Message-Oriented Middleware (MOM)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O MOM, implementado via RabbitMQ, provê a infraestrutura que viabiliza a EDA: armazenamento durável de mensagens, entrega garantida com acknowledgment, controle de fluxo via prefetch e roteamento por exchanges (Hohpe &amp; Woolf, 2003). O uso de filas duráveis e mensagens persistentes garante que eventos não sejam perdidos em reinicializações do broker. A principal limitação observada foi a complexidade adicional de infraestrutura: o ambiente de desenvolvimento exige RabbitMQ disponível. Para mitigar isso, o servidor foi projetado para inicializar mesmo sem conexão ao broker, degradando graciosamente para um modo sem notificações assíncronas.</w:t>
      </w:r>
    </w:p>
    <w:p>
      <w:pPr>
        <w:spacing w:before="240" w:after="80"/>
        <w:jc w:val="left"/>
      </w:pPr>
      <w:r>
        <w:rPr>
          <w:rFonts w:ascii="Arial" w:hAnsi="Arial"/>
          <w:b/>
          <w:sz w:val="24"/>
        </w:rPr>
        <w:t>5.3 Clean Architecture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A Clean Architecture (Martin, 2017) organiza o código em camadas com uma regra fundamental: dependências só apontam para dentro. No mobile, o Domínio (entidades e use cases puros) não conhece Flutter; a camada de Dados implementa as interfaces do domínio; a Apresentação depende do domínio via use cases, não das implementações. Na prática, quando o fluxo de contraproposta foi adicionado, apenas um novo use case e uma nova página foram criados, sem modificar a lógica existente — demonstrando o princípio Open/Closed na prática.</w:t>
      </w:r>
    </w:p>
    <w:p>
      <w:pPr>
        <w:spacing w:before="240" w:after="80"/>
        <w:jc w:val="left"/>
      </w:pPr>
      <w:r>
        <w:rPr>
          <w:rFonts w:ascii="Arial" w:hAnsi="Arial"/>
          <w:b/>
          <w:sz w:val="24"/>
        </w:rPr>
        <w:t>5.4 REST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A interface entre app e backend segue os princípios REST (Fielding, 2000): recursos identificados por URIs, manipulação via verbos HTTP semânticos, representações em JSON e comunicação stateless. A constraint stateless se alinha com JWT: nenhuma instância do backend mantém estado de sessão, facilitando escalabilidade horizontal. A principal limitação observada foi a necessidade de polling para notificações, que gera carga desnecessária. A evolução natural seria WebSockets ou Server-Sent Events para notificações em tempo real.</w:t>
      </w:r>
    </w:p>
    <w:p>
      <w:pPr>
        <w:spacing w:before="360" w:after="120" w:line="360" w:lineRule="exact"/>
        <w:jc w:val="left"/>
      </w:pPr>
      <w:r>
        <w:rPr>
          <w:rFonts w:ascii="Arial" w:hAnsi="Arial"/>
          <w:b/>
          <w:sz w:val="24"/>
        </w:rPr>
        <w:t>6. CONCLUSÃO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O projeto integrador permitiu aplicar em conjunto padrões e tecnologias estudados na disciplina em um sistema funcional de ponta a ponta. A adoção de Clean Architecture no mobile demonstrou na prática como a separação de responsabilidades reduz o acoplamento e facilita a evolução incremental. A integração com RabbitMQ como MOM exemplificou os benefícios do desacoplamento temporal, ao mesmo tempo que expôs os desafios operacionais de sistemas distribuídos assíncronos: idempotência, durabilidade e o problema do dual write.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Os desafios encontrados durante a integração da mensageria revelaram aspectos não triviais do desenvolvimento distribuído que não são evidentes apenas pela leitura de documentação. Compreender a fronteira entre processamento síncrono e assíncrono, definir a topologia correta de filas e exchanges, e lidar com as garantias de entrega do RabbitMQ constituíram o principal aprendizado técnico do projeto.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sz w:val="24"/>
        </w:rPr>
        <w:t>Como trabalhos futuros destacam-se: implementação de Dead Letter Queue para tratamento de falhas permanentes; adoção do Outbox Pattern para garantir consistência entre banco e broker; substituição do polling de notificações por WebSockets; e adição de testes unitários nas camadas de domínio e dados.</w:t>
      </w:r>
    </w:p>
    <w:p>
      <w:pPr>
        <w:spacing w:before="360" w:after="120" w:line="360" w:lineRule="exact"/>
        <w:jc w:val="left"/>
      </w:pPr>
      <w:r>
        <w:rPr>
          <w:rFonts w:ascii="Arial" w:hAnsi="Arial"/>
          <w:b/>
          <w:sz w:val="24"/>
        </w:rPr>
        <w:t>7. REFERÊNCIAS BIBLIOGRÁFICAS</w:t>
      </w:r>
    </w:p>
    <w:p>
      <w:pPr>
        <w:spacing w:after="120"/>
        <w:ind w:hanging="283" w:left="283"/>
        <w:jc w:val="both"/>
      </w:pPr>
      <w:r>
        <w:rPr>
          <w:rFonts w:ascii="Arial" w:hAnsi="Arial"/>
          <w:b/>
          <w:sz w:val="24"/>
        </w:rPr>
        <w:t xml:space="preserve">FIELDING, Roy T. </w:t>
      </w:r>
      <w:r>
        <w:rPr>
          <w:rFonts w:ascii="Arial" w:hAnsi="Arial"/>
          <w:sz w:val="24"/>
        </w:rPr>
        <w:t>Architectural Styles and the Design of Network-based Software Architectures. Dissertação de Doutorado. University of California, Irvine, 2000.</w:t>
      </w:r>
    </w:p>
    <w:p>
      <w:pPr>
        <w:spacing w:after="120"/>
        <w:ind w:hanging="283" w:left="283"/>
        <w:jc w:val="both"/>
      </w:pPr>
      <w:r>
        <w:rPr>
          <w:rFonts w:ascii="Arial" w:hAnsi="Arial"/>
          <w:b/>
          <w:sz w:val="24"/>
        </w:rPr>
        <w:t xml:space="preserve">FOWLER, Martin. </w:t>
      </w:r>
      <w:r>
        <w:rPr>
          <w:rFonts w:ascii="Arial" w:hAnsi="Arial"/>
          <w:sz w:val="24"/>
        </w:rPr>
        <w:t>Patterns of Enterprise Application Architecture. Boston: Addison-Wesley, 2002. ISBN 978-0321127426.</w:t>
      </w:r>
    </w:p>
    <w:p>
      <w:pPr>
        <w:spacing w:after="120"/>
        <w:ind w:hanging="283" w:left="283"/>
        <w:jc w:val="both"/>
      </w:pPr>
      <w:r>
        <w:rPr>
          <w:rFonts w:ascii="Arial" w:hAnsi="Arial"/>
          <w:b/>
          <w:sz w:val="24"/>
        </w:rPr>
        <w:t xml:space="preserve">HOHPE, Gregor; WOOLF, Bobby. </w:t>
      </w:r>
      <w:r>
        <w:rPr>
          <w:rFonts w:ascii="Arial" w:hAnsi="Arial"/>
          <w:sz w:val="24"/>
        </w:rPr>
        <w:t>Enterprise Integration Patterns: Designing, Building, and Deploying Messaging Solutions. Boston: Addison-Wesley, 2003. ISBN 978-0321200686.</w:t>
      </w:r>
    </w:p>
    <w:p>
      <w:pPr>
        <w:spacing w:after="120"/>
        <w:ind w:hanging="283" w:left="283"/>
        <w:jc w:val="both"/>
      </w:pPr>
      <w:r>
        <w:rPr>
          <w:rFonts w:ascii="Arial" w:hAnsi="Arial"/>
          <w:b/>
          <w:sz w:val="24"/>
        </w:rPr>
        <w:t xml:space="preserve">KLEPPMANN, Martin. </w:t>
      </w:r>
      <w:r>
        <w:rPr>
          <w:rFonts w:ascii="Arial" w:hAnsi="Arial"/>
          <w:sz w:val="24"/>
        </w:rPr>
        <w:t>Designing Data-Intensive Applications. Sebastopol: O'Reilly Media, 2017. ISBN 978-1449373320.</w:t>
      </w:r>
    </w:p>
    <w:p>
      <w:pPr>
        <w:spacing w:after="120"/>
        <w:ind w:hanging="283" w:left="283"/>
        <w:jc w:val="both"/>
      </w:pPr>
      <w:r>
        <w:rPr>
          <w:rFonts w:ascii="Arial" w:hAnsi="Arial"/>
          <w:b/>
          <w:sz w:val="24"/>
        </w:rPr>
        <w:t xml:space="preserve">MARTIN, Robert C. </w:t>
      </w:r>
      <w:r>
        <w:rPr>
          <w:rFonts w:ascii="Arial" w:hAnsi="Arial"/>
          <w:sz w:val="24"/>
        </w:rPr>
        <w:t>Clean Architecture: A Craftsman's Guide to Software Structure and Design. Upper Saddle River: Prentice Hall, 2017. ISBN 978-0134494166.</w:t>
      </w:r>
    </w:p>
    <w:p>
      <w:pPr>
        <w:spacing w:after="120"/>
        <w:ind w:hanging="283" w:left="283"/>
        <w:jc w:val="both"/>
      </w:pPr>
      <w:r>
        <w:rPr>
          <w:rFonts w:ascii="Arial" w:hAnsi="Arial"/>
          <w:b/>
          <w:sz w:val="24"/>
        </w:rPr>
        <w:t xml:space="preserve">RABBITMQ TEAM. </w:t>
      </w:r>
      <w:r>
        <w:rPr>
          <w:rFonts w:ascii="Arial" w:hAnsi="Arial"/>
          <w:sz w:val="24"/>
        </w:rPr>
        <w:t>RabbitMQ Documentation — AMQP 0-9-1 Model, Exchanges, Queues, Publisher Confirms, Dead Letter Exchanges. Broadcom Inc., 2024. Disponível em: https://www.rabbitmq.com/documentation.html. Acesso em: jun. 2026.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