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ind w:left="525" w:right="254.88188976378126" w:hanging="525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color w:val="ec9c2e"/>
          <w:rtl w:val="0"/>
        </w:rPr>
        <w:t xml:space="preserve">Ambientação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360" w:lineRule="auto"/>
        <w:ind w:left="0" w:right="254.88188976378126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539.0" w:type="dxa"/>
        <w:tblBorders>
          <w:top w:color="ec9c2e" w:space="0" w:sz="8" w:val="single"/>
          <w:left w:color="ec9c2e" w:space="0" w:sz="8" w:val="single"/>
          <w:bottom w:color="ec9c2e" w:space="0" w:sz="8" w:val="single"/>
          <w:right w:color="ec9c2e" w:space="0" w:sz="8" w:val="single"/>
          <w:insideH w:color="ec9c2e" w:space="0" w:sz="8" w:val="single"/>
          <w:insideV w:color="ec9c2e" w:space="0" w:sz="8" w:val="single"/>
        </w:tblBorders>
        <w:tblLayout w:type="fixed"/>
        <w:tblLook w:val="0000"/>
      </w:tblPr>
      <w:tblGrid>
        <w:gridCol w:w="5970"/>
        <w:gridCol w:w="4575"/>
        <w:tblGridChange w:id="0">
          <w:tblGrid>
            <w:gridCol w:w="5970"/>
            <w:gridCol w:w="457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Nome do cliente: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666666"/>
                <w:rtl w:val="0"/>
              </w:rPr>
              <w:t xml:space="preserve">Marson Distribuição Ltda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Código de cliente: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666666"/>
                <w:rtl w:val="0"/>
              </w:rPr>
              <w:t xml:space="preserve"> TEWP22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Nome do projeto: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MARSON - EVOLUÇÃO CRM 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Código do projeto: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D000054651001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Segmento cliente: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Distribuição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Unidade TOTVS: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Totvs Interior Paulista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10/04/2024</w:t>
            </w:r>
          </w:p>
        </w:tc>
        <w:tc>
          <w:tcPr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Proposta comercial: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Gerente/Coordenador TOTVS: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Andreia Anacleto do Nascimento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ed9c2e" w:space="0" w:sz="4" w:val="single"/>
              <w:left w:color="ed9c2e" w:space="0" w:sz="4" w:val="single"/>
              <w:bottom w:color="ed9c2e" w:space="0" w:sz="4" w:val="single"/>
              <w:right w:color="ed9c2e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ind w:right="254.88188976378126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Gerente/Coordenador cliente: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Rogério Dorigatti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before="256" w:line="360" w:lineRule="auto"/>
        <w:ind w:right="254.88188976378126" w:firstLine="0"/>
        <w:jc w:val="both"/>
        <w:rPr>
          <w:color w:val="ec9c2e"/>
        </w:rPr>
      </w:pPr>
      <w:bookmarkStart w:colFirst="0" w:colLast="0" w:name="_heading=h.r0asxpn19kg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256" w:line="360" w:lineRule="auto"/>
        <w:ind w:right="254.88188976378126" w:firstLine="283.46456692913375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color w:val="ec9c2e"/>
          <w:rtl w:val="0"/>
        </w:rPr>
        <w:t xml:space="preserve">Histórico de Revisão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360" w:lineRule="auto"/>
        <w:ind w:left="0" w:right="254.88188976378126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Ind w:w="539.0" w:type="dxa"/>
        <w:tblBorders>
          <w:top w:color="ec9c2e" w:space="0" w:sz="8" w:val="single"/>
          <w:left w:color="ec9c2e" w:space="0" w:sz="8" w:val="single"/>
          <w:bottom w:color="ec9c2e" w:space="0" w:sz="8" w:val="single"/>
          <w:right w:color="ec9c2e" w:space="0" w:sz="8" w:val="single"/>
          <w:insideH w:color="ec9c2e" w:space="0" w:sz="8" w:val="single"/>
          <w:insideV w:color="ec9c2e" w:space="0" w:sz="8" w:val="single"/>
        </w:tblBorders>
        <w:tblLayout w:type="fixed"/>
        <w:tblLook w:val="0000"/>
      </w:tblPr>
      <w:tblGrid>
        <w:gridCol w:w="1620"/>
        <w:gridCol w:w="1815"/>
        <w:gridCol w:w="2775"/>
        <w:gridCol w:w="4320"/>
        <w:tblGridChange w:id="0">
          <w:tblGrid>
            <w:gridCol w:w="1620"/>
            <w:gridCol w:w="1815"/>
            <w:gridCol w:w="2775"/>
            <w:gridCol w:w="43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15" w:right="254.88188976378126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370" w:right="254.88188976378126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808" w:right="254.88188976378126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5" w:right="254.88188976378126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254.88188976378126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254.88188976378126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0" w:right="254.88188976378126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 inicial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254.88188976378126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Murilo Weber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54.88188976378126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256" w:line="360" w:lineRule="auto"/>
        <w:ind w:left="525" w:right="254.88188976378126" w:hanging="241.53543307086622"/>
        <w:jc w:val="both"/>
        <w:rPr>
          <w:b w:val="1"/>
          <w:sz w:val="20"/>
          <w:szCs w:val="20"/>
        </w:rPr>
      </w:pPr>
      <w:bookmarkStart w:colFirst="0" w:colLast="0" w:name="_heading=h.v9yvvumqm55w" w:id="3"/>
      <w:bookmarkEnd w:id="3"/>
      <w:r w:rsidDel="00000000" w:rsidR="00000000" w:rsidRPr="00000000">
        <w:rPr>
          <w:color w:val="ec9c2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Ambientação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Histórico de Revisão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yvvumqm55w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Definição do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epgkpmvyby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Integração de Clientes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wqtihrpjsy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Integração de Ordem de Venda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gm4s9yqc50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Filtro Adapter de Cliente Protheus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k2yw7j25no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Filtro Adapter de Vendedor Protheus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Detalhamento do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gt3el6h6xv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Integração de Clientes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ok0le8m7vyv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Integração de Ordem de Vendas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5oarryb3tth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Filtro Adapter de Cliente Protheus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e3p2ntstn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Filtro Adapter de Vendedor Protheus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akzdh57ge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Das Responsabilidades das Equipes TOTVS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7l2pep8869e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Equipe de Serviços TOTVS CRM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3co84rho9j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Equipe de Desenvolvimento Protheus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kwemxhqr2n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Aceite e Assinatura do Detalhamento de Escopo de Customização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kv25a0oxj3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Glossário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pageBreakBefore w:val="1"/>
        <w:numPr>
          <w:ilvl w:val="0"/>
          <w:numId w:val="7"/>
        </w:numPr>
        <w:tabs>
          <w:tab w:val="left" w:leader="none" w:pos="1250"/>
        </w:tabs>
        <w:spacing w:after="0" w:before="0" w:line="360" w:lineRule="auto"/>
        <w:ind w:left="1250" w:right="254.88188976378126" w:hanging="664"/>
        <w:jc w:val="both"/>
        <w:rPr/>
      </w:pPr>
      <w:bookmarkStart w:colFirst="0" w:colLast="0" w:name="_heading=h.1fob9te" w:id="4"/>
      <w:bookmarkEnd w:id="4"/>
      <w:r w:rsidDel="00000000" w:rsidR="00000000" w:rsidRPr="00000000">
        <w:rPr>
          <w:color w:val="ec9c2e"/>
          <w:rtl w:val="0"/>
        </w:rPr>
        <w:t xml:space="preserve">Definição do Escopo</w:t>
      </w:r>
    </w:p>
    <w:p w:rsidR="00000000" w:rsidDel="00000000" w:rsidP="00000000" w:rsidRDefault="00000000" w:rsidRPr="00000000" w14:paraId="0000002F">
      <w:pPr>
        <w:widowControl w:val="1"/>
        <w:spacing w:after="240" w:before="240" w:line="360" w:lineRule="auto"/>
        <w:ind w:left="570" w:right="254.88188976378126"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objetivo deste projeto é realizar customizações na integração de clientes e ordens de venda entre o TOTVS CRM e o ERP Protheus bem como a inclusão de filtros específicos nos adapters de cliente, vendedor e estoque no ERP Protheus.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250"/>
        </w:tabs>
        <w:ind w:right="254.8818897637812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numPr>
          <w:ilvl w:val="1"/>
          <w:numId w:val="7"/>
        </w:numPr>
        <w:ind w:right="254.88188976378126"/>
        <w:rPr>
          <w:color w:val="ec9c2e"/>
          <w:sz w:val="28"/>
          <w:szCs w:val="28"/>
        </w:rPr>
      </w:pPr>
      <w:bookmarkStart w:colFirst="0" w:colLast="0" w:name="_heading=h.epepgkpmvyby" w:id="5"/>
      <w:bookmarkEnd w:id="5"/>
      <w:r w:rsidDel="00000000" w:rsidR="00000000" w:rsidRPr="00000000">
        <w:rPr>
          <w:rtl w:val="0"/>
        </w:rPr>
        <w:t xml:space="preserve">Integração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40" w:before="240" w:line="360" w:lineRule="auto"/>
        <w:ind w:left="57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que tange a integração de clientes, serão criados dois campos personalizados no respectivo formulário de cadastro no TOTVS CRM, estes receberão por integração o motivo de bloqueio e status de cadastro do ERP. </w:t>
      </w:r>
    </w:p>
    <w:p w:rsidR="00000000" w:rsidDel="00000000" w:rsidP="00000000" w:rsidRDefault="00000000" w:rsidRPr="00000000" w14:paraId="00000033">
      <w:pPr>
        <w:widowControl w:val="1"/>
        <w:spacing w:after="240" w:before="240" w:line="360" w:lineRule="auto"/>
        <w:ind w:left="57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campos personalizados de cadastro de clientes criados no TOTVS CRM deverão ser mapeados nos diagramas de integração iPaaS no sentido ERP para o CRM. </w:t>
      </w:r>
    </w:p>
    <w:p w:rsidR="00000000" w:rsidDel="00000000" w:rsidP="00000000" w:rsidRDefault="00000000" w:rsidRPr="00000000" w14:paraId="00000034">
      <w:pPr>
        <w:widowControl w:val="1"/>
        <w:spacing w:after="240" w:before="240" w:line="360" w:lineRule="auto"/>
        <w:ind w:left="570" w:right="254.88188976378126"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Além dos campos personalizados no TCRM, este projeto também prevê o mapeamento de múltiplos endereços de clientes para a sua devida integração no ERP Protheus, para isso, além do mapeamento dos campos de endereços nos diagramas iPaaS, o ponto de entrada no Protheus será customizado para receber esses múltiplos endereços de clientes. A integração de múltiplos endereços de clientes se dará nos dois sentidos da integração, TCRM para ERP e ERP para TCRM.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7"/>
        </w:numPr>
        <w:ind w:left="1970" w:right="254.88188976378126" w:hanging="815"/>
        <w:rPr>
          <w:color w:val="ec9c2e"/>
          <w:sz w:val="28"/>
          <w:szCs w:val="28"/>
        </w:rPr>
      </w:pPr>
      <w:bookmarkStart w:colFirst="0" w:colLast="0" w:name="_heading=h.bjwqtihrpjsy" w:id="6"/>
      <w:bookmarkEnd w:id="6"/>
      <w:r w:rsidDel="00000000" w:rsidR="00000000" w:rsidRPr="00000000">
        <w:rPr>
          <w:sz w:val="28"/>
          <w:szCs w:val="28"/>
          <w:rtl w:val="0"/>
        </w:rPr>
        <w:t xml:space="preserve">Integração de Ordem de Venda</w:t>
      </w:r>
    </w:p>
    <w:p w:rsidR="00000000" w:rsidDel="00000000" w:rsidP="00000000" w:rsidRDefault="00000000" w:rsidRPr="00000000" w14:paraId="00000036">
      <w:pPr>
        <w:widowControl w:val="1"/>
        <w:spacing w:after="240" w:before="240" w:line="360" w:lineRule="auto"/>
        <w:ind w:left="57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ordem de venda, na aba informações, será criado um campo personalizado para receber observações (Mapa de frete) no TCRM e este será mapeado nos diagramas iPaaS para a integração no fluxo TCRM para o ERP, o ponto de entrada do Protheus também será customizado para receber este campo novo.</w:t>
      </w:r>
    </w:p>
    <w:p w:rsidR="00000000" w:rsidDel="00000000" w:rsidP="00000000" w:rsidRDefault="00000000" w:rsidRPr="00000000" w14:paraId="00000037">
      <w:pPr>
        <w:widowControl w:val="1"/>
        <w:spacing w:after="240" w:before="240" w:line="360" w:lineRule="auto"/>
        <w:ind w:left="57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campo de forma de pagamento deverá ser mapeado nos diagramas iPaaS para ser enviado ao Protheus, pois conforme a forma de pagamento enviada o ponto de entrada no ERP executa uma rotina para preenchimento de outros campos do pedido de venda. A equipe do cliente Marson deverá disponibilizar uma lista das formas de pagamento que deverão ser cadastradas no TCRM, exatamente iguais às do ERP. O projeto não prevê a integração da entidade de forma de pagamento entre o ERP e o TCRM, apenas o mapeamento de tal campo dentro da ordem de venda a ser integrada no ERP.</w:t>
      </w:r>
    </w:p>
    <w:p w:rsidR="00000000" w:rsidDel="00000000" w:rsidP="00000000" w:rsidRDefault="00000000" w:rsidRPr="00000000" w14:paraId="00000038">
      <w:pPr>
        <w:widowControl w:val="1"/>
        <w:spacing w:after="240" w:before="240" w:line="360" w:lineRule="auto"/>
        <w:ind w:left="57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do endereço de entrega selecionado na ordem de venda deverá ser mapeado para ser integrado no fluxo TCRM para ERP.</w:t>
      </w:r>
    </w:p>
    <w:p w:rsidR="00000000" w:rsidDel="00000000" w:rsidP="00000000" w:rsidRDefault="00000000" w:rsidRPr="00000000" w14:paraId="00000039">
      <w:pPr>
        <w:widowControl w:val="1"/>
        <w:spacing w:after="240" w:before="240" w:line="360" w:lineRule="auto"/>
        <w:ind w:left="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7"/>
        </w:numPr>
        <w:spacing w:line="360" w:lineRule="auto"/>
        <w:ind w:left="1970" w:right="254.88188976378126" w:hanging="815"/>
        <w:rPr>
          <w:color w:val="ec9c2e"/>
        </w:rPr>
      </w:pPr>
      <w:bookmarkStart w:colFirst="0" w:colLast="0" w:name="_heading=h.zbgm4s9yqc50" w:id="7"/>
      <w:bookmarkEnd w:id="7"/>
      <w:r w:rsidDel="00000000" w:rsidR="00000000" w:rsidRPr="00000000">
        <w:rPr>
          <w:rtl w:val="0"/>
        </w:rPr>
        <w:t xml:space="preserve">Filtro Adapter de Cliente Protheus</w:t>
      </w:r>
    </w:p>
    <w:p w:rsidR="00000000" w:rsidDel="00000000" w:rsidP="00000000" w:rsidRDefault="00000000" w:rsidRPr="00000000" w14:paraId="0000003B">
      <w:pPr>
        <w:spacing w:line="360" w:lineRule="auto"/>
        <w:ind w:left="72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incluído no adapter de integração de cliente do Protheus filtro por um campo customizado para que integrem somente os registros de clientes que o atenderem.</w:t>
      </w:r>
    </w:p>
    <w:p w:rsidR="00000000" w:rsidDel="00000000" w:rsidP="00000000" w:rsidRDefault="00000000" w:rsidRPr="00000000" w14:paraId="0000003C">
      <w:pPr>
        <w:spacing w:line="360" w:lineRule="auto"/>
        <w:ind w:left="72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7"/>
        </w:numPr>
        <w:spacing w:line="360" w:lineRule="auto"/>
        <w:ind w:left="1970" w:right="254.88188976378126" w:hanging="815"/>
        <w:rPr>
          <w:color w:val="ec9c2e"/>
        </w:rPr>
      </w:pPr>
      <w:bookmarkStart w:colFirst="0" w:colLast="0" w:name="_heading=h.t4k2yw7j25no" w:id="8"/>
      <w:bookmarkEnd w:id="8"/>
      <w:r w:rsidDel="00000000" w:rsidR="00000000" w:rsidRPr="00000000">
        <w:rPr>
          <w:rtl w:val="0"/>
        </w:rPr>
        <w:t xml:space="preserve">Filtro Adapter de Vendedor Protheus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Será incluí</w:t>
      </w:r>
      <w:r w:rsidDel="00000000" w:rsidR="00000000" w:rsidRPr="00000000">
        <w:rPr>
          <w:sz w:val="24"/>
          <w:szCs w:val="24"/>
          <w:rtl w:val="0"/>
        </w:rPr>
        <w:t xml:space="preserve">do no adapter de integração de vendedor do Protheus filtro por um campo customizado para que integrem somente os registros de clientes que o atenderem.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360" w:lineRule="auto"/>
        <w:ind w:left="0" w:right="254.88188976378126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7"/>
        </w:numPr>
        <w:tabs>
          <w:tab w:val="left" w:leader="none" w:pos="1250"/>
        </w:tabs>
        <w:spacing w:after="0" w:before="0" w:line="360" w:lineRule="auto"/>
        <w:ind w:left="1250" w:right="254.88188976378126" w:hanging="664"/>
        <w:jc w:val="both"/>
        <w:rPr/>
      </w:pPr>
      <w:bookmarkStart w:colFirst="0" w:colLast="0" w:name="_heading=h.3znysh7" w:id="9"/>
      <w:bookmarkEnd w:id="9"/>
      <w:r w:rsidDel="00000000" w:rsidR="00000000" w:rsidRPr="00000000">
        <w:rPr>
          <w:color w:val="ec9c2e"/>
          <w:rtl w:val="0"/>
        </w:rPr>
        <w:t xml:space="preserve">Detalhamento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250"/>
        </w:tabs>
        <w:spacing w:line="360" w:lineRule="auto"/>
        <w:ind w:left="125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7"/>
        </w:numPr>
        <w:spacing w:before="239" w:line="360" w:lineRule="auto"/>
        <w:ind w:left="1970" w:right="254.88188976378126" w:hanging="815"/>
        <w:rPr>
          <w:color w:val="ec9c2e"/>
        </w:rPr>
      </w:pPr>
      <w:bookmarkStart w:colFirst="0" w:colLast="0" w:name="_heading=h.jcgt3el6h6xv" w:id="10"/>
      <w:bookmarkEnd w:id="10"/>
      <w:r w:rsidDel="00000000" w:rsidR="00000000" w:rsidRPr="00000000">
        <w:rPr>
          <w:rtl w:val="0"/>
        </w:rPr>
        <w:t xml:space="preserve">Integração de Clientes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do campo “Motivo de Bloqueio”, tipo texto e somente leitura, no formulário de cadastro de cliente no TCRM.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Motivo de Bloqueio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A1_ZZMTBLQ)</w:t>
      </w:r>
      <w:r w:rsidDel="00000000" w:rsidR="00000000" w:rsidRPr="00000000">
        <w:rPr>
          <w:sz w:val="24"/>
          <w:szCs w:val="24"/>
          <w:rtl w:val="0"/>
        </w:rPr>
        <w:t xml:space="preserve">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00-EAI-Receiver-Protheus</w:t>
      </w:r>
      <w:r w:rsidDel="00000000" w:rsidR="00000000" w:rsidRPr="00000000">
        <w:rPr>
          <w:sz w:val="24"/>
          <w:szCs w:val="24"/>
          <w:rtl w:val="0"/>
        </w:rPr>
        <w:t xml:space="preserve"> do iPaaS, mais precisamente na function.id7, para que o valor enviado pelo Protheus seja integrado no HUB.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Motivo de Bloqueio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12-Webhook-Customer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os jolts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JOLT-Customer-Update, JOLT-Customer-Create e JOLT-HUB-Update,</w:t>
      </w:r>
      <w:r w:rsidDel="00000000" w:rsidR="00000000" w:rsidRPr="00000000">
        <w:rPr>
          <w:sz w:val="24"/>
          <w:szCs w:val="24"/>
          <w:rtl w:val="0"/>
        </w:rPr>
        <w:t xml:space="preserve"> que compreendem a integração de criação e edição de registros de clientes do HUB para o TCRM.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do campo “Status Cadastro ERP”, tipo texto e somente leitura, no formulário de cadastro de cliente no TCRM.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Status Cadastro ERP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A1_ZZSTATU)</w:t>
      </w:r>
      <w:r w:rsidDel="00000000" w:rsidR="00000000" w:rsidRPr="00000000">
        <w:rPr>
          <w:sz w:val="24"/>
          <w:szCs w:val="24"/>
          <w:rtl w:val="0"/>
        </w:rPr>
        <w:t xml:space="preserve">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EAIReceiverCRM-ERPToHub</w:t>
      </w:r>
      <w:r w:rsidDel="00000000" w:rsidR="00000000" w:rsidRPr="00000000">
        <w:rPr>
          <w:sz w:val="24"/>
          <w:szCs w:val="24"/>
          <w:rtl w:val="0"/>
        </w:rPr>
        <w:t xml:space="preserve"> do iPaaS, mais precisamente na function.id7, para que o valor enviado pelo Protheus seja integrado no HUB.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Status Cadastro ERP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12-Webhook-Customer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os jolts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JOLT-Customer-Update, JOLT-Customer-Create e JOLT-HUB-Update,</w:t>
      </w:r>
      <w:r w:rsidDel="00000000" w:rsidR="00000000" w:rsidRPr="00000000">
        <w:rPr>
          <w:sz w:val="24"/>
          <w:szCs w:val="24"/>
          <w:rtl w:val="0"/>
        </w:rPr>
        <w:t xml:space="preserve"> que compreendem a integração de criação e edição de registros de clientes do HUB para o TCRM.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os campos dos múltiplos endereços de registros de clientes no diagrama EAIReceiverCRM-ERPToHub do iPaaS, mais precisamente na function.id7, para que os valores enviados pelo Protheus sejam integrados no HUB.</w:t>
      </w:r>
    </w:p>
    <w:p w:rsidR="00000000" w:rsidDel="00000000" w:rsidP="00000000" w:rsidRDefault="00000000" w:rsidRPr="00000000" w14:paraId="0000004A">
      <w:pPr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segue exemplo de campo de lista de endereços que será enviado pelo Protheus no payload de integração de registros de clientes: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"Address":[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"Code":"000001 - AGA_CODIGO"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"Order":"Principal",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"Type":"Residencial",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"Address":"RUA TESTE - A1_END",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"ZipCode":"22270010 - A1_CEP",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"District":"HUMAITA - A1_BAIRRO",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"State":"RJ - A1_EST",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"City Code":"04557 - A1_COD_MUN",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"City":"RIO DE JANEIRO - A1_MUN",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"Country":"105 - A1_PAIS",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"Description":"BRASIL - A1_PAISDES",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"Complement":"A1_COMPLEM",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"Obs":"TESTE",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"Cei":"0101"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"Code":"000002 - AGA_CODIGO"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"Order":"Entrega",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"Type":"Comercial - AGA_TIPO",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"Address":"RUA TESTE 2 - AGA_END",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"ZipCode":"89056000 - AGA_CEP",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"District":"CENTRO - AGA_BAIRRO",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"State":"SC - AGA_EST",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"City Code":"02404 - AGA_MUN",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"City":"BLUMENAU - AGA_MUNDES",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"Country":"105 - AGA_PAIS",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"Description":"BRASIL - AGA_PAISDE",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"Complement":"3o. ANDAR - SALA 99 - AGA_COMP",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"Obs":"NÃO RECEBE AOS DOMINGOS - AGA_ZZOBS",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"Cei":"9999 - AGA_ZZCEI"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"Code":"000003 - AGA_CODIGO"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"Order":"Entrega",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"Type":"Comercial - AGA_TIPO",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"Address":"RUA - AGA_END",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"ZipCode":"13070123 - AGA_CEP",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"District":"CENTRO - AGA_BAIRRO",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"State":"SP - AGA_EST",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"City Code":"99999 - AGA_MUN",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"City":"SÃO PAULO - AGA_MUNDES",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"Country":"105 - AGA_PAIS",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"Description":"BRASIL - AGA_PAISDE",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"Complement":"XXXXX - AGA_COMP",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"Obs":"TESTE - AGA_ZZOBS",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"Cei":"9999 - AGA_ZZCEI"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]</w:t>
      </w:r>
    </w:p>
    <w:p w:rsidR="00000000" w:rsidDel="00000000" w:rsidP="00000000" w:rsidRDefault="00000000" w:rsidRPr="00000000" w14:paraId="0000007D">
      <w:pPr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os campos dos múltiplos endereços de registros de clientes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12-Webhook-Customer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os jolts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JOLT-Customer-Update, JOLT-Customer-Create e JOLT-HUB-Update,</w:t>
      </w:r>
      <w:r w:rsidDel="00000000" w:rsidR="00000000" w:rsidRPr="00000000">
        <w:rPr>
          <w:sz w:val="24"/>
          <w:szCs w:val="24"/>
          <w:rtl w:val="0"/>
        </w:rPr>
        <w:t xml:space="preserve"> que compreendem a integração de criação e edição de registros de clientes do HUB para o TCRM.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os campos dos múltiplos endereços de registros de clientes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14-Webhook-Exportation-Customer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 jolt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JOLT-Customer-EAI</w:t>
      </w:r>
      <w:r w:rsidDel="00000000" w:rsidR="00000000" w:rsidRPr="00000000">
        <w:rPr>
          <w:sz w:val="24"/>
          <w:szCs w:val="24"/>
          <w:rtl w:val="0"/>
        </w:rPr>
        <w:t xml:space="preserve"> que compreende a integração de criação e edição de registros de clientes do HUB para o ERP. Os campos de recebimento de múltiplos endereços na integração de registros de clientes serão os mesmos utilizados no payload de envio do Protheus.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0" w:right="254.88188976378126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7"/>
        </w:numPr>
        <w:ind w:left="1970" w:right="254.88188976378126" w:hanging="815"/>
        <w:rPr>
          <w:color w:val="ec9c2e"/>
        </w:rPr>
      </w:pPr>
      <w:bookmarkStart w:colFirst="0" w:colLast="0" w:name="_heading=h.aok0le8m7vyv" w:id="11"/>
      <w:bookmarkEnd w:id="11"/>
      <w:r w:rsidDel="00000000" w:rsidR="00000000" w:rsidRPr="00000000">
        <w:rPr>
          <w:rtl w:val="0"/>
        </w:rPr>
        <w:t xml:space="preserve">Integração de Ordem de Vendas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do campo “Observações” (Mapa de Frete), tipo texto, no formulário de informações da ordem de venda no TCRM.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“Observações” (Mapa de Frete)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16-Webhook-Exportation-Order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 jolt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JOLT-Order-Header</w:t>
      </w:r>
      <w:r w:rsidDel="00000000" w:rsidR="00000000" w:rsidRPr="00000000">
        <w:rPr>
          <w:sz w:val="24"/>
          <w:szCs w:val="24"/>
          <w:rtl w:val="0"/>
        </w:rPr>
        <w:t xml:space="preserve"> que compreende a integração de ordens de venda do TCRM para o HUB.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“Observações” (Mapa de Frete)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16-Webhook-Exportation-Order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 jolt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JOLT-Order-EAI</w:t>
      </w:r>
      <w:r w:rsidDel="00000000" w:rsidR="00000000" w:rsidRPr="00000000">
        <w:rPr>
          <w:sz w:val="24"/>
          <w:szCs w:val="24"/>
          <w:rtl w:val="0"/>
        </w:rPr>
        <w:t xml:space="preserve"> que compreende a integração de ordens de venda do HUB para o ERP.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de forma de pagamento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16-Webhook-Exportation-Order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a function.id4 que compreende a integração de ordens de venda do TCRM para o HUB.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de forma de pagamento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16-Webhook-Exportation-Order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 jolt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JOLT-Order-Header </w:t>
      </w:r>
      <w:r w:rsidDel="00000000" w:rsidR="00000000" w:rsidRPr="00000000">
        <w:rPr>
          <w:sz w:val="24"/>
          <w:szCs w:val="24"/>
          <w:rtl w:val="0"/>
        </w:rPr>
        <w:t xml:space="preserve">que compreende a integração de ordens de venda do HUB para o ERP.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Mapear o campo código do endereço de entrega no diagrama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16-Webhook-Exportation-Order</w:t>
      </w:r>
      <w:r w:rsidDel="00000000" w:rsidR="00000000" w:rsidRPr="00000000">
        <w:rPr>
          <w:sz w:val="24"/>
          <w:szCs w:val="24"/>
          <w:rtl w:val="0"/>
        </w:rPr>
        <w:t xml:space="preserve"> do iPaaS, mais precisamente o jolt </w:t>
      </w:r>
      <w:r w:rsidDel="00000000" w:rsidR="00000000" w:rsidRPr="00000000">
        <w:rPr>
          <w:b w:val="1"/>
          <w:sz w:val="24"/>
          <w:szCs w:val="24"/>
          <w:rtl w:val="0"/>
        </w:rPr>
        <w:t xml:space="preserve">JOLT-Order-Header</w:t>
      </w:r>
      <w:r w:rsidDel="00000000" w:rsidR="00000000" w:rsidRPr="00000000">
        <w:rPr>
          <w:sz w:val="24"/>
          <w:szCs w:val="24"/>
          <w:rtl w:val="0"/>
        </w:rPr>
        <w:t xml:space="preserve"> que compreende a integração de ordens de venda do HUB para o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right="254.88188976378126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7"/>
        </w:numPr>
        <w:ind w:right="254.88188976378126"/>
        <w:rPr>
          <w:color w:val="ec9c2e"/>
        </w:rPr>
      </w:pPr>
      <w:bookmarkStart w:colFirst="0" w:colLast="0" w:name="_heading=h.m5oarryb3tth" w:id="12"/>
      <w:bookmarkEnd w:id="12"/>
      <w:r w:rsidDel="00000000" w:rsidR="00000000" w:rsidRPr="00000000">
        <w:rPr>
          <w:rtl w:val="0"/>
        </w:rPr>
        <w:t xml:space="preserve">Filtro Adapter de Cliente Protheus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 filtro do campo “A1_X_SIM3G = sim” no adapter de envio de mensagens de integração de criação ou edição de registros de clientes (CRMA980 e/ou MATA030).</w:t>
      </w:r>
    </w:p>
    <w:p w:rsidR="00000000" w:rsidDel="00000000" w:rsidP="00000000" w:rsidRDefault="00000000" w:rsidRPr="00000000" w14:paraId="0000008B">
      <w:pPr>
        <w:ind w:left="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7"/>
        </w:numPr>
        <w:spacing w:line="360" w:lineRule="auto"/>
        <w:ind w:right="254.88188976378126"/>
        <w:rPr>
          <w:color w:val="ec9c2e"/>
        </w:rPr>
      </w:pPr>
      <w:bookmarkStart w:colFirst="0" w:colLast="0" w:name="_heading=h.ve3p2ntstnl" w:id="13"/>
      <w:bookmarkEnd w:id="13"/>
      <w:r w:rsidDel="00000000" w:rsidR="00000000" w:rsidRPr="00000000">
        <w:rPr>
          <w:rtl w:val="0"/>
        </w:rPr>
        <w:t xml:space="preserve">Filtro Adapter de Vendedor Protheus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 filtro do campo “A3_X_SIM3G = sim” no adapter de envio de mensagens de integração de criação ou edição de registros de vendedores (MATA040).</w:t>
      </w:r>
    </w:p>
    <w:p w:rsidR="00000000" w:rsidDel="00000000" w:rsidP="00000000" w:rsidRDefault="00000000" w:rsidRPr="00000000" w14:paraId="0000008E">
      <w:pPr>
        <w:spacing w:line="360" w:lineRule="auto"/>
        <w:ind w:left="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7"/>
        </w:numPr>
        <w:spacing w:line="360" w:lineRule="auto"/>
        <w:ind w:left="1250" w:right="254.88188976378126" w:hanging="664"/>
        <w:jc w:val="both"/>
        <w:rPr>
          <w:color w:val="ed9c2e"/>
        </w:rPr>
      </w:pPr>
      <w:bookmarkStart w:colFirst="0" w:colLast="0" w:name="_heading=h.vsakzdh57gel" w:id="14"/>
      <w:bookmarkEnd w:id="14"/>
      <w:r w:rsidDel="00000000" w:rsidR="00000000" w:rsidRPr="00000000">
        <w:rPr>
          <w:color w:val="ed9c2e"/>
          <w:rtl w:val="0"/>
        </w:rPr>
        <w:t xml:space="preserve">Das Responsabilidades das Equipes TOTVS</w:t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7"/>
        </w:numPr>
        <w:ind w:left="1970" w:right="254.88188976378126" w:hanging="815"/>
        <w:rPr>
          <w:color w:val="ed9c2e"/>
        </w:rPr>
      </w:pPr>
      <w:bookmarkStart w:colFirst="0" w:colLast="0" w:name="_heading=h.47l2pep8869e" w:id="15"/>
      <w:bookmarkEnd w:id="15"/>
      <w:r w:rsidDel="00000000" w:rsidR="00000000" w:rsidRPr="00000000">
        <w:rPr>
          <w:rtl w:val="0"/>
        </w:rPr>
        <w:t xml:space="preserve">Equipe de Serviços TOTVS CRM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line="360" w:lineRule="auto"/>
        <w:ind w:left="2160" w:right="254.88188976378126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Criar os campos personalizados nas rotinas de cadastro de cliente e ordem de venda no TOTVS CRM;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line="360" w:lineRule="auto"/>
        <w:ind w:left="2160" w:right="254.88188976378126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Mapear os campos personalizados no TCRM nos diagramas de cliente e ordem de venda do iPaaS, para que estes campos integrem do TCRM para o hub do iPaaS e do hub para o Protheus;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line="360" w:lineRule="auto"/>
        <w:ind w:left="2160" w:right="254.88188976378126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Editar os diagramas de integração de clientes no iPaaS para que possam integrar múltiplos endereços do TCRM para o Protheus;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line="360" w:lineRule="auto"/>
        <w:ind w:left="2160" w:right="254.88188976378126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Inclusão dos filtros nos adapters EAI Protheus de cliente e usuário;</w:t>
      </w:r>
    </w:p>
    <w:p w:rsidR="00000000" w:rsidDel="00000000" w:rsidP="00000000" w:rsidRDefault="00000000" w:rsidRPr="00000000" w14:paraId="00000095">
      <w:pPr>
        <w:spacing w:line="360" w:lineRule="auto"/>
        <w:ind w:left="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7"/>
        </w:numPr>
        <w:ind w:left="1970" w:hanging="815"/>
        <w:rPr>
          <w:color w:val="ed9c2e"/>
        </w:rPr>
      </w:pPr>
      <w:bookmarkStart w:colFirst="0" w:colLast="0" w:name="_heading=h.by3co84rho9j" w:id="16"/>
      <w:bookmarkEnd w:id="16"/>
      <w:r w:rsidDel="00000000" w:rsidR="00000000" w:rsidRPr="00000000">
        <w:rPr>
          <w:rtl w:val="0"/>
        </w:rPr>
        <w:t xml:space="preserve">Equipe de Desenvolvimento Protheus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Customizar o ponto de entrada </w:t>
      </w:r>
      <w:r w:rsidDel="00000000" w:rsidR="00000000" w:rsidRPr="00000000">
        <w:rPr>
          <w:sz w:val="24"/>
          <w:szCs w:val="24"/>
          <w:rtl w:val="0"/>
        </w:rPr>
        <w:t xml:space="preserve">MTI030NOM (Cadastro de Clientes Protheus) para viabilizar a integração dos seguintes campos: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"Status":"AC=Aguardando análise cadastral;RC=Reanalise cadastral;CA=Cadastro aprovado;CD=Cadastro descartado - </w:t>
      </w:r>
      <w:r w:rsidDel="00000000" w:rsidR="00000000" w:rsidRPr="00000000">
        <w:rPr>
          <w:sz w:val="24"/>
          <w:szCs w:val="24"/>
          <w:rtl w:val="0"/>
        </w:rPr>
        <w:t xml:space="preserve">A1_ZZSTATU</w:t>
      </w:r>
      <w:r w:rsidDel="00000000" w:rsidR="00000000" w:rsidRPr="00000000">
        <w:rPr>
          <w:sz w:val="24"/>
          <w:szCs w:val="24"/>
          <w:rtl w:val="0"/>
        </w:rPr>
        <w:t xml:space="preserve">",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ind w:left="2160" w:right="254.881889763781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"Motive":"1=Nao compra;2=Ativa;3=Suspensa na Receita;4=Inapta na Receita;5=Inadimplente;6=Compra Esporadica;8=Baixada na Receita - </w:t>
      </w:r>
      <w:r w:rsidDel="00000000" w:rsidR="00000000" w:rsidRPr="00000000">
        <w:rPr>
          <w:sz w:val="24"/>
          <w:szCs w:val="24"/>
          <w:rtl w:val="0"/>
        </w:rPr>
        <w:t xml:space="preserve">A1_ZZMTBLQ</w:t>
      </w:r>
      <w:r w:rsidDel="00000000" w:rsidR="00000000" w:rsidRPr="00000000">
        <w:rPr>
          <w:sz w:val="24"/>
          <w:szCs w:val="24"/>
          <w:rtl w:val="0"/>
        </w:rPr>
        <w:t xml:space="preserve">",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hd w:fill="ffffff" w:val="clear"/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Customizar o ponto de entrada MTI030NOM (Cadastro de Clientes Protheus) para envio e recebimento de múltiplos endereços na integração de registros de clientes bem como customizar o response que o ERP retorna informando os códigos gerados para cada endereço com o id interno do HUB.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hd w:fill="ffffff" w:val="clear"/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Customizar o ponto de entrada </w:t>
      </w:r>
      <w:r w:rsidDel="00000000" w:rsidR="00000000" w:rsidRPr="00000000">
        <w:rPr>
          <w:sz w:val="24"/>
          <w:szCs w:val="24"/>
          <w:rtl w:val="0"/>
        </w:rPr>
        <w:t xml:space="preserve">MT410EAI (Pedido de Venda Protheus) para receber na integração o código do endereço de entrega do cliente selecionado na ordem de venda TCRM;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hd w:fill="ffffff" w:val="clear"/>
        <w:spacing w:line="360" w:lineRule="auto"/>
        <w:ind w:left="2160" w:right="254.8818897637812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Customizar o ponto de entrada MT410EAI (Pedido de Venda Protheus) para receber na integração a forma de pagamento selecionada na ordem de venda TCRM;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216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0" w:right="254.881889763781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keepLines w:val="1"/>
        <w:pageBreakBefore w:val="1"/>
        <w:widowControl w:val="1"/>
        <w:numPr>
          <w:ilvl w:val="0"/>
          <w:numId w:val="7"/>
        </w:numPr>
        <w:spacing w:line="360" w:lineRule="auto"/>
        <w:ind w:left="1250" w:right="254.88188976378126" w:hanging="664"/>
        <w:jc w:val="both"/>
        <w:rPr/>
      </w:pPr>
      <w:bookmarkStart w:colFirst="0" w:colLast="0" w:name="_heading=h.vfkwemxhqr2n" w:id="17"/>
      <w:bookmarkEnd w:id="17"/>
      <w:r w:rsidDel="00000000" w:rsidR="00000000" w:rsidRPr="00000000">
        <w:rPr>
          <w:color w:val="ed9c2e"/>
          <w:rtl w:val="0"/>
        </w:rPr>
        <w:t xml:space="preserve">Aceite e Assinatura do Detalhamento de Escopo de Customização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240" w:before="240" w:line="360" w:lineRule="auto"/>
        <w:ind w:left="566.9291338582675"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Estou ciente de todos os itens e detalhes contidos neste documento de escopo detalhado e o mesmo está de acordo com as regras de negócio apresentadas e esperadas pela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Marson Distribuição Ltda</w:t>
      </w:r>
      <w:r w:rsidDel="00000000" w:rsidR="00000000" w:rsidRPr="00000000">
        <w:rPr>
          <w:sz w:val="24"/>
          <w:szCs w:val="24"/>
          <w:rtl w:val="0"/>
        </w:rPr>
        <w:t xml:space="preserve">, sendo, portanto, a partir de agora, um documento oficial do projeto. Informo que este documento está aprovado para dar sequência nas atividades propostas no cronograma do projeto.</w:t>
      </w:r>
    </w:p>
    <w:p w:rsidR="00000000" w:rsidDel="00000000" w:rsidP="00000000" w:rsidRDefault="00000000" w:rsidRPr="00000000" w14:paraId="000000A1">
      <w:pPr>
        <w:widowControl w:val="1"/>
        <w:spacing w:line="360" w:lineRule="auto"/>
        <w:ind w:right="254.88188976378126"/>
        <w:jc w:val="both"/>
        <w:rPr>
          <w:i w:val="1"/>
          <w:color w:val="3636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95.0" w:type="dxa"/>
        <w:jc w:val="left"/>
        <w:tblInd w:w="24.0" w:type="dxa"/>
        <w:tblBorders>
          <w:top w:color="ed9c2e" w:space="0" w:sz="4" w:val="single"/>
          <w:left w:color="ed9c2e" w:space="0" w:sz="4" w:val="single"/>
          <w:bottom w:color="ed9c2e" w:space="0" w:sz="4" w:val="single"/>
          <w:right w:color="ed9c2e" w:space="0" w:sz="4" w:val="single"/>
          <w:insideH w:color="ed9c2e" w:space="0" w:sz="4" w:val="single"/>
          <w:insideV w:color="ed9c2e" w:space="0" w:sz="4" w:val="single"/>
        </w:tblBorders>
        <w:tblLayout w:type="fixed"/>
        <w:tblLook w:val="0000"/>
      </w:tblPr>
      <w:tblGrid>
        <w:gridCol w:w="3180"/>
        <w:gridCol w:w="3660"/>
        <w:gridCol w:w="4155"/>
        <w:tblGridChange w:id="0">
          <w:tblGrid>
            <w:gridCol w:w="3180"/>
            <w:gridCol w:w="3660"/>
            <w:gridCol w:w="4155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360" w:lineRule="auto"/>
              <w:ind w:right="254.88188976378126"/>
              <w:jc w:val="both"/>
              <w:rPr>
                <w:b w:val="1"/>
                <w:color w:val="36363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63636"/>
                <w:sz w:val="20"/>
                <w:szCs w:val="20"/>
                <w:rtl w:val="0"/>
              </w:rPr>
              <w:t xml:space="preserve">Assinado e aprovado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line="360" w:lineRule="auto"/>
              <w:ind w:right="254.88188976378126"/>
              <w:jc w:val="both"/>
              <w:rPr>
                <w:b w:val="1"/>
                <w:color w:val="36363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63636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line="360" w:lineRule="auto"/>
              <w:ind w:right="254.88188976378126"/>
              <w:jc w:val="both"/>
              <w:rPr>
                <w:b w:val="1"/>
                <w:color w:val="363636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63636"/>
                <w:sz w:val="20"/>
                <w:szCs w:val="20"/>
                <w:rtl w:val="0"/>
              </w:rPr>
              <w:t xml:space="preserve">Papel no Projeto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widowControl w:val="1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Rogério Dorigatti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widowControl w:val="1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Marson Distribuição Ltda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 Focal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Murilo Souza Weber</w:t>
            </w:r>
          </w:p>
        </w:tc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TOTVS CRM</w:t>
            </w:r>
          </w:p>
        </w:tc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Implantação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Andreia Anacleto Do Nascimento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TOTVS CRM</w:t>
            </w:r>
          </w:p>
        </w:tc>
        <w:tc>
          <w:tcPr>
            <w:tcBorders>
              <w:bottom w:color="ed9c2e" w:space="0" w:sz="8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widowControl w:val="1"/>
              <w:spacing w:line="360" w:lineRule="auto"/>
              <w:ind w:right="254.8818897637812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Coordenadora do Projeto</w:t>
            </w:r>
          </w:p>
        </w:tc>
      </w:tr>
    </w:tbl>
    <w:p w:rsidR="00000000" w:rsidDel="00000000" w:rsidP="00000000" w:rsidRDefault="00000000" w:rsidRPr="00000000" w14:paraId="000000AE">
      <w:pPr>
        <w:widowControl w:val="1"/>
        <w:spacing w:line="360" w:lineRule="auto"/>
        <w:ind w:right="254.88188976378126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1" w:line="360" w:lineRule="auto"/>
        <w:ind w:left="530" w:right="254.88188976378126" w:firstLine="0"/>
        <w:jc w:val="both"/>
        <w:rPr>
          <w:color w:val="424242"/>
          <w:sz w:val="20"/>
          <w:szCs w:val="20"/>
        </w:rPr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Autor do Documento: Murilo Weber</w:t>
      </w:r>
    </w:p>
    <w:p w:rsidR="00000000" w:rsidDel="00000000" w:rsidP="00000000" w:rsidRDefault="00000000" w:rsidRPr="00000000" w14:paraId="000000B0">
      <w:pPr>
        <w:spacing w:before="1" w:line="360" w:lineRule="auto"/>
        <w:ind w:left="530" w:right="254.88188976378126" w:firstLine="0"/>
        <w:jc w:val="both"/>
        <w:rPr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" w:line="360" w:lineRule="auto"/>
        <w:ind w:left="530" w:right="254.88188976378126" w:firstLine="0"/>
        <w:jc w:val="both"/>
        <w:rPr>
          <w:color w:val="424242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1"/>
        <w:keepLines w:val="1"/>
        <w:pageBreakBefore w:val="1"/>
        <w:widowControl w:val="1"/>
        <w:numPr>
          <w:ilvl w:val="0"/>
          <w:numId w:val="7"/>
        </w:numPr>
        <w:spacing w:line="360" w:lineRule="auto"/>
        <w:ind w:left="1250" w:right="254.88188976378126" w:hanging="664"/>
        <w:jc w:val="both"/>
        <w:rPr/>
      </w:pPr>
      <w:bookmarkStart w:colFirst="0" w:colLast="0" w:name="_heading=h.6okv25a0oxj3" w:id="18"/>
      <w:bookmarkEnd w:id="18"/>
      <w:r w:rsidDel="00000000" w:rsidR="00000000" w:rsidRPr="00000000">
        <w:rPr>
          <w:color w:val="ed9c2e"/>
          <w:rtl w:val="0"/>
        </w:rPr>
        <w:t xml:space="preserve">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240" w:before="240" w:line="240" w:lineRule="auto"/>
        <w:ind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 breve glossário de alguns termos utilizados: </w:t>
      </w:r>
    </w:p>
    <w:p w:rsidR="00000000" w:rsidDel="00000000" w:rsidP="00000000" w:rsidRDefault="00000000" w:rsidRPr="00000000" w14:paraId="000000B4">
      <w:pPr>
        <w:widowControl w:val="1"/>
        <w:spacing w:after="240" w:before="240" w:line="360" w:lineRule="auto"/>
        <w:ind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iPaaS </w:t>
      </w:r>
      <w:r w:rsidDel="00000000" w:rsidR="00000000" w:rsidRPr="00000000">
        <w:rPr>
          <w:sz w:val="24"/>
          <w:szCs w:val="24"/>
          <w:rtl w:val="0"/>
        </w:rPr>
        <w:t xml:space="preserve">= é a palataforma responsável pela diagramação de integração entre sistemas, recebe informações do ERP e envia para o HUB que por sua vez envia para o CRM e também no sentido inverso. Dentre suas funcionalidades, há a possibilidade de tratamento e transformações dos dados no iPaaS antes de serem enviados de um sistema para outro.</w:t>
      </w:r>
    </w:p>
    <w:p w:rsidR="00000000" w:rsidDel="00000000" w:rsidP="00000000" w:rsidRDefault="00000000" w:rsidRPr="00000000" w14:paraId="000000B5">
      <w:pPr>
        <w:widowControl w:val="1"/>
        <w:spacing w:after="240" w:before="240" w:line="360" w:lineRule="auto"/>
        <w:ind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 </w:t>
      </w:r>
      <w:r w:rsidDel="00000000" w:rsidR="00000000" w:rsidRPr="00000000">
        <w:rPr>
          <w:sz w:val="24"/>
          <w:szCs w:val="24"/>
          <w:rtl w:val="0"/>
        </w:rPr>
        <w:t xml:space="preserve">= é um componente do iPaaS utilizado para criar condições e realizar tratamentos de dados antes de serem enviados ao destino, recebendo os dados e podemos tratá-los através de funções, filtros e condições para depois serem enviados ao software de destino.</w:t>
      </w:r>
    </w:p>
    <w:p w:rsidR="00000000" w:rsidDel="00000000" w:rsidP="00000000" w:rsidRDefault="00000000" w:rsidRPr="00000000" w14:paraId="000000B6">
      <w:pPr>
        <w:widowControl w:val="1"/>
        <w:spacing w:after="240" w:before="240" w:line="360" w:lineRule="auto"/>
        <w:ind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Mapear o campo</w:t>
      </w:r>
      <w:r w:rsidDel="00000000" w:rsidR="00000000" w:rsidRPr="00000000">
        <w:rPr>
          <w:sz w:val="24"/>
          <w:szCs w:val="24"/>
          <w:rtl w:val="0"/>
        </w:rPr>
        <w:t xml:space="preserve"> = entende-se como “cadastrar” os novos campos no integrador, visto que atualmente eles não existem.</w:t>
      </w:r>
    </w:p>
    <w:p w:rsidR="00000000" w:rsidDel="00000000" w:rsidP="00000000" w:rsidRDefault="00000000" w:rsidRPr="00000000" w14:paraId="000000B7">
      <w:pPr>
        <w:widowControl w:val="1"/>
        <w:spacing w:after="240" w:before="240" w:line="360" w:lineRule="auto"/>
        <w:ind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Hub </w:t>
      </w:r>
      <w:r w:rsidDel="00000000" w:rsidR="00000000" w:rsidRPr="00000000">
        <w:rPr>
          <w:sz w:val="24"/>
          <w:szCs w:val="24"/>
          <w:rtl w:val="0"/>
        </w:rPr>
        <w:t xml:space="preserve">= é o repositório do integrador, com suas API’s e tabelas intermediárias para controle de DE/PARA dos dados integrados entre um sistema e outro.</w:t>
      </w:r>
    </w:p>
    <w:p w:rsidR="00000000" w:rsidDel="00000000" w:rsidP="00000000" w:rsidRDefault="00000000" w:rsidRPr="00000000" w14:paraId="000000B8">
      <w:pPr>
        <w:widowControl w:val="1"/>
        <w:spacing w:after="240" w:before="240" w:line="360" w:lineRule="auto"/>
        <w:ind w:right="254.88188976378126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API </w:t>
      </w:r>
      <w:r w:rsidDel="00000000" w:rsidR="00000000" w:rsidRPr="00000000">
        <w:rPr>
          <w:sz w:val="24"/>
          <w:szCs w:val="24"/>
          <w:rtl w:val="0"/>
        </w:rPr>
        <w:t xml:space="preserve">= é responsável pela comunicação e troca de informações de maneira fácil e segura entre sistemas com linguagens de programação distintas.</w:t>
      </w:r>
    </w:p>
    <w:sectPr>
      <w:headerReference r:id="rId8" w:type="default"/>
      <w:footerReference r:id="rId9" w:type="default"/>
      <w:pgSz w:h="16840" w:w="11920" w:orient="portrait"/>
      <w:pgMar w:bottom="780" w:top="2960" w:left="320" w:right="280" w:header="1054" w:footer="5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365374</wp:posOffset>
          </wp:positionH>
          <wp:positionV relativeFrom="paragraph">
            <wp:posOffset>0</wp:posOffset>
          </wp:positionV>
          <wp:extent cx="3038475" cy="238125"/>
          <wp:effectExtent b="0" l="0" r="0" t="0"/>
          <wp:wrapNone/>
          <wp:docPr id="3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38475" cy="238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507682</wp:posOffset>
              </wp:positionH>
              <wp:positionV relativeFrom="page">
                <wp:posOffset>410209</wp:posOffset>
              </wp:positionV>
              <wp:extent cx="6660105" cy="1016592"/>
              <wp:effectExtent b="0" l="0" r="0" t="0"/>
              <wp:wrapNone/>
              <wp:docPr id="36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15925" y="3271700"/>
                        <a:ext cx="6660105" cy="1016592"/>
                        <a:chOff x="2015925" y="3271700"/>
                        <a:chExt cx="6660150" cy="1016600"/>
                      </a:xfrm>
                    </wpg:grpSpPr>
                    <wpg:grpSp>
                      <wpg:cNvGrpSpPr/>
                      <wpg:grpSpPr>
                        <a:xfrm>
                          <a:off x="2015948" y="3271704"/>
                          <a:ext cx="6660105" cy="1016592"/>
                          <a:chOff x="2015925" y="3279600"/>
                          <a:chExt cx="6660150" cy="100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015925" y="3279600"/>
                            <a:ext cx="6660150" cy="10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015948" y="3279600"/>
                            <a:ext cx="6660105" cy="1000878"/>
                            <a:chOff x="152400" y="152400"/>
                            <a:chExt cx="7315198" cy="117373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2400" y="152400"/>
                              <a:ext cx="7315175" cy="1173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7315198" cy="11567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497691" y="351439"/>
                              <a:ext cx="6777300" cy="9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34"/>
                                    <w:vertAlign w:val="baseline"/>
                                  </w:rPr>
                                  <w:t xml:space="preserve">DETALHAMENTO DE ESCOPO DE CUSTOMIZAÇÃO -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3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897e9"/>
                                    <w:sz w:val="34"/>
                                    <w:vertAlign w:val="baseline"/>
                                  </w:rPr>
                                  <w:t xml:space="preserve">TOTVS CRM GESTÃO DE CLIENTES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507682</wp:posOffset>
              </wp:positionH>
              <wp:positionV relativeFrom="page">
                <wp:posOffset>410209</wp:posOffset>
              </wp:positionV>
              <wp:extent cx="6660105" cy="1016592"/>
              <wp:effectExtent b="0" l="0" r="0" t="0"/>
              <wp:wrapNone/>
              <wp:docPr id="36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0105" cy="10165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1250" w:hanging="664"/>
      </w:pPr>
      <w:rPr>
        <w:rFonts w:ascii="Tahoma" w:cs="Tahoma" w:eastAsia="Tahoma" w:hAnsi="Tahoma"/>
        <w:b w:val="1"/>
        <w:i w:val="0"/>
        <w:color w:val="ec9c2e"/>
        <w:sz w:val="32"/>
        <w:szCs w:val="32"/>
      </w:rPr>
    </w:lvl>
    <w:lvl w:ilvl="1">
      <w:start w:val="1"/>
      <w:numFmt w:val="decimal"/>
      <w:lvlText w:val="%1.%2."/>
      <w:lvlJc w:val="right"/>
      <w:pPr>
        <w:ind w:left="1970" w:hanging="815"/>
      </w:pPr>
      <w:rPr>
        <w:color w:val="000000"/>
      </w:rPr>
    </w:lvl>
    <w:lvl w:ilvl="2">
      <w:start w:val="1"/>
      <w:numFmt w:val="decimal"/>
      <w:lvlText w:val="%1.%2.%3."/>
      <w:lvlJc w:val="right"/>
      <w:pPr>
        <w:ind w:left="2690" w:hanging="987"/>
      </w:pPr>
      <w:rPr/>
    </w:lvl>
    <w:lvl w:ilvl="3">
      <w:start w:val="1"/>
      <w:numFmt w:val="decimal"/>
      <w:lvlText w:val="%1.%2.%3.%4."/>
      <w:lvlJc w:val="right"/>
      <w:pPr>
        <w:ind w:left="3410" w:hanging="987"/>
      </w:pPr>
      <w:rPr>
        <w:rFonts w:ascii="Tahoma" w:cs="Tahoma" w:eastAsia="Tahoma" w:hAnsi="Tahoma"/>
        <w:b w:val="1"/>
        <w:i w:val="0"/>
        <w:color w:val="ec9c2e"/>
        <w:sz w:val="20"/>
        <w:szCs w:val="20"/>
      </w:rPr>
    </w:lvl>
    <w:lvl w:ilvl="4">
      <w:start w:val="0"/>
      <w:numFmt w:val="decimal"/>
      <w:lvlText w:val="%1.%2.%3.%4.%5."/>
      <w:lvlJc w:val="right"/>
      <w:pPr>
        <w:ind w:left="3420" w:hanging="987"/>
      </w:pPr>
      <w:rPr/>
    </w:lvl>
    <w:lvl w:ilvl="5">
      <w:start w:val="0"/>
      <w:numFmt w:val="decimal"/>
      <w:lvlText w:val="%1.%2.%3.%4.%5.%6."/>
      <w:lvlJc w:val="right"/>
      <w:pPr>
        <w:ind w:left="4736" w:hanging="986.9999999999991"/>
      </w:pPr>
      <w:rPr/>
    </w:lvl>
    <w:lvl w:ilvl="6">
      <w:start w:val="0"/>
      <w:numFmt w:val="decimal"/>
      <w:lvlText w:val="%1.%2.%3.%4.%5.%6.%7."/>
      <w:lvlJc w:val="right"/>
      <w:pPr>
        <w:ind w:left="6053" w:hanging="987"/>
      </w:pPr>
      <w:rPr/>
    </w:lvl>
    <w:lvl w:ilvl="7">
      <w:start w:val="0"/>
      <w:numFmt w:val="decimal"/>
      <w:lvlText w:val="%1.%2.%3.%4.%5.%6.%7.%8."/>
      <w:lvlJc w:val="right"/>
      <w:pPr>
        <w:ind w:left="7370" w:hanging="987"/>
      </w:pPr>
      <w:rPr/>
    </w:lvl>
    <w:lvl w:ilvl="8">
      <w:start w:val="0"/>
      <w:numFmt w:val="decimal"/>
      <w:lvlText w:val="%1.%2.%3.%4.%5.%6.%7.%8.%9."/>
      <w:lvlJc w:val="right"/>
      <w:pPr>
        <w:ind w:left="8686" w:hanging="987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30" w:hanging="664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after="240" w:before="240" w:line="360" w:lineRule="auto"/>
      <w:ind w:left="1970" w:right="254.88188976378126" w:hanging="815"/>
      <w:jc w:val="both"/>
    </w:pPr>
    <w:rPr>
      <w:b w:val="1"/>
      <w:color w:val="ec9c2e"/>
      <w:sz w:val="28"/>
      <w:szCs w:val="28"/>
    </w:rPr>
  </w:style>
  <w:style w:type="paragraph" w:styleId="Heading3">
    <w:name w:val="heading 3"/>
    <w:basedOn w:val="Normal"/>
    <w:next w:val="Normal"/>
    <w:pPr>
      <w:ind w:left="2690" w:hanging="986"/>
    </w:pPr>
    <w:rPr>
      <w:rFonts w:ascii="Tahoma" w:cs="Tahoma" w:eastAsia="Tahoma" w:hAnsi="Tahoma"/>
      <w:b w:val="1"/>
      <w:sz w:val="22"/>
      <w:szCs w:val="22"/>
    </w:rPr>
  </w:style>
  <w:style w:type="paragraph" w:styleId="Heading4">
    <w:name w:val="heading 4"/>
    <w:basedOn w:val="Normal"/>
    <w:next w:val="Normal"/>
    <w:pPr>
      <w:ind w:left="3410" w:hanging="1119"/>
    </w:pPr>
    <w:rPr>
      <w:rFonts w:ascii="Tahoma" w:cs="Tahoma" w:eastAsia="Tahoma" w:hAnsi="Tahoma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30" w:hanging="664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2690" w:hanging="1044"/>
    </w:pPr>
    <w:rPr>
      <w:rFonts w:ascii="Tahoma" w:cs="Tahoma" w:eastAsia="Tahoma" w:hAnsi="Tahoma"/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2690" w:hanging="986"/>
    </w:pPr>
    <w:rPr>
      <w:rFonts w:ascii="Tahoma" w:cs="Tahoma" w:eastAsia="Tahoma" w:hAnsi="Tahoma"/>
      <w:b w:val="1"/>
      <w:sz w:val="22"/>
      <w:szCs w:val="22"/>
    </w:rPr>
  </w:style>
  <w:style w:type="paragraph" w:styleId="Heading4">
    <w:name w:val="heading 4"/>
    <w:basedOn w:val="Normal"/>
    <w:next w:val="Normal"/>
    <w:pPr>
      <w:ind w:left="3410" w:hanging="1119"/>
    </w:pPr>
    <w:rPr>
      <w:rFonts w:ascii="Tahoma" w:cs="Tahoma" w:eastAsia="Tahoma" w:hAnsi="Tahoma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ahoma" w:cs="Tahoma" w:eastAsia="Tahoma" w:hAnsi="Tahoma"/>
      <w:lang w:bidi="ar-SA" w:eastAsia="en-US" w:val="pt-PT"/>
    </w:rPr>
  </w:style>
  <w:style w:type="paragraph" w:styleId="TOC1">
    <w:name w:val="TOC 1"/>
    <w:basedOn w:val="Normal"/>
    <w:uiPriority w:val="1"/>
    <w:qFormat w:val="1"/>
    <w:pPr>
      <w:spacing w:before="60"/>
      <w:ind w:left="530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2">
    <w:name w:val="TOC 2"/>
    <w:basedOn w:val="Normal"/>
    <w:uiPriority w:val="1"/>
    <w:qFormat w:val="1"/>
    <w:pPr>
      <w:spacing w:before="60"/>
      <w:ind w:left="1314" w:hanging="424"/>
    </w:pPr>
    <w:rPr>
      <w:rFonts w:ascii="Arial MT" w:cs="Arial MT" w:eastAsia="Arial MT" w:hAnsi="Arial MT"/>
      <w:sz w:val="22"/>
      <w:szCs w:val="22"/>
      <w:lang w:bidi="ar-SA" w:eastAsia="en-US" w:val="pt-PT"/>
    </w:rPr>
  </w:style>
  <w:style w:type="paragraph" w:styleId="TOC3">
    <w:name w:val="TOC 3"/>
    <w:basedOn w:val="Normal"/>
    <w:uiPriority w:val="1"/>
    <w:qFormat w:val="1"/>
    <w:pPr>
      <w:spacing w:before="60"/>
      <w:ind w:left="1287" w:hanging="397"/>
    </w:pPr>
    <w:rPr>
      <w:rFonts w:ascii="Tahoma" w:cs="Tahoma" w:eastAsia="Tahoma" w:hAnsi="Tahoma"/>
      <w:sz w:val="20"/>
      <w:szCs w:val="20"/>
      <w:lang w:bidi="ar-SA" w:eastAsia="en-US" w:val="pt-PT"/>
    </w:rPr>
  </w:style>
  <w:style w:type="paragraph" w:styleId="TOC4">
    <w:name w:val="TOC 4"/>
    <w:basedOn w:val="Normal"/>
    <w:uiPriority w:val="1"/>
    <w:qFormat w:val="1"/>
    <w:pPr>
      <w:spacing w:before="60"/>
      <w:ind w:left="1855" w:hanging="605"/>
    </w:pPr>
    <w:rPr>
      <w:rFonts w:ascii="Arial MT" w:cs="Arial MT" w:eastAsia="Arial MT" w:hAnsi="Arial MT"/>
      <w:sz w:val="22"/>
      <w:szCs w:val="22"/>
      <w:lang w:bidi="ar-SA" w:eastAsia="en-US" w:val="pt-PT"/>
    </w:rPr>
  </w:style>
  <w:style w:type="paragraph" w:styleId="TOC5">
    <w:name w:val="TOC 5"/>
    <w:basedOn w:val="Normal"/>
    <w:uiPriority w:val="1"/>
    <w:qFormat w:val="1"/>
    <w:pPr>
      <w:spacing w:before="60"/>
      <w:ind w:left="1815" w:hanging="565"/>
    </w:pPr>
    <w:rPr>
      <w:rFonts w:ascii="Tahoma" w:cs="Tahoma" w:eastAsia="Tahoma" w:hAnsi="Tahoma"/>
      <w:sz w:val="20"/>
      <w:szCs w:val="20"/>
      <w:lang w:bidi="ar-SA" w:eastAsia="en-US" w:val="pt-PT"/>
    </w:rPr>
  </w:style>
  <w:style w:type="paragraph" w:styleId="TOC6">
    <w:name w:val="TOC 6"/>
    <w:basedOn w:val="Normal"/>
    <w:uiPriority w:val="1"/>
    <w:qFormat w:val="1"/>
    <w:pPr>
      <w:spacing w:before="60"/>
      <w:ind w:left="2397" w:hanging="787"/>
    </w:pPr>
    <w:rPr>
      <w:rFonts w:ascii="Arial MT" w:cs="Arial MT" w:eastAsia="Arial MT" w:hAnsi="Arial MT"/>
      <w:sz w:val="22"/>
      <w:szCs w:val="22"/>
      <w:lang w:bidi="ar-SA" w:eastAsia="en-US" w:val="pt-PT"/>
    </w:rPr>
  </w:style>
  <w:style w:type="paragraph" w:styleId="TOC7">
    <w:name w:val="TOC 7"/>
    <w:basedOn w:val="Normal"/>
    <w:uiPriority w:val="1"/>
    <w:qFormat w:val="1"/>
    <w:pPr>
      <w:spacing w:before="60"/>
      <w:ind w:left="2343" w:hanging="733"/>
    </w:pPr>
    <w:rPr>
      <w:rFonts w:ascii="Tahoma" w:cs="Tahoma" w:eastAsia="Tahoma" w:hAnsi="Tahoma"/>
      <w:sz w:val="20"/>
      <w:szCs w:val="20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Tahoma" w:cs="Tahoma" w:eastAsia="Tahoma" w:hAnsi="Tahoma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530" w:hanging="664"/>
      <w:outlineLvl w:val="1"/>
    </w:pPr>
    <w:rPr>
      <w:rFonts w:ascii="Tahoma" w:cs="Tahoma" w:eastAsia="Tahoma" w:hAnsi="Tahoma"/>
      <w:b w:val="1"/>
      <w:bCs w:val="1"/>
      <w:sz w:val="32"/>
      <w:szCs w:val="32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ind w:left="2690" w:hanging="1044"/>
      <w:outlineLvl w:val="2"/>
    </w:pPr>
    <w:rPr>
      <w:rFonts w:ascii="Tahoma" w:cs="Tahoma" w:eastAsia="Tahoma" w:hAnsi="Tahoma"/>
      <w:b w:val="1"/>
      <w:bCs w:val="1"/>
      <w:sz w:val="24"/>
      <w:szCs w:val="24"/>
      <w:lang w:bidi="ar-SA" w:eastAsia="en-US" w:val="pt-PT"/>
    </w:rPr>
  </w:style>
  <w:style w:type="paragraph" w:styleId="Heading3">
    <w:name w:val="Heading 3"/>
    <w:basedOn w:val="Normal"/>
    <w:uiPriority w:val="1"/>
    <w:qFormat w:val="1"/>
    <w:pPr>
      <w:ind w:left="2690" w:hanging="986"/>
      <w:outlineLvl w:val="3"/>
    </w:pPr>
    <w:rPr>
      <w:rFonts w:ascii="Tahoma" w:cs="Tahoma" w:eastAsia="Tahoma" w:hAnsi="Tahoma"/>
      <w:b w:val="1"/>
      <w:bCs w:val="1"/>
      <w:sz w:val="22"/>
      <w:szCs w:val="22"/>
      <w:lang w:bidi="ar-SA" w:eastAsia="en-US" w:val="pt-PT"/>
    </w:rPr>
  </w:style>
  <w:style w:type="paragraph" w:styleId="Heading4">
    <w:name w:val="Heading 4"/>
    <w:basedOn w:val="Normal"/>
    <w:uiPriority w:val="1"/>
    <w:qFormat w:val="1"/>
    <w:pPr>
      <w:ind w:left="3410" w:hanging="1119"/>
      <w:outlineLvl w:val="4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spacing w:before="60"/>
      <w:ind w:left="3410" w:hanging="1119"/>
    </w:pPr>
    <w:rPr>
      <w:rFonts w:ascii="Tahoma" w:cs="Tahoma" w:eastAsia="Tahoma" w:hAnsi="Tahoma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rFonts w:ascii="Tahoma" w:cs="Tahoma" w:eastAsia="Tahoma" w:hAnsi="Tahoma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33cccc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33cccc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33cccc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33ccc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dreia.anacleto@totvs.com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9xDKuTRdaaaWQxfe/loNZRASfA==">CgMxLjAyCGguZ2pkZ3hzMgloLjMwajB6bGwyDmgucjBhc3hwbjE5a2c4MgloLjMwajB6bGwyDmgudjl5dnZ1bXFtNTV3MgloLjFmb2I5dGUyDmguZXBlcGdrcG12eWJ5Mg5oLmJqd3F0aWhycGpzeTIOaC56YmdtNHM5eXFjNTAyDmgudDRrMnl3N2oyNW5vMgloLjN6bnlzaDcyDmguamNndDNlbDZoNnh2Mg5oLmFvazBsZThtN3Z5djIOaC5tNW9hcnJ5YjN0dGgyDWgudmUzcDJudHN0bmwyDmgudnNha3pkaDU3Z2VsMg5oLjQ3bDJwZXA4ODY5ZTIOaC5ieTNjbzg0cmhvOWoyDmgudmZrd2VteGhxcjJuMg5oLjZva3YyNWEwb3hqMzgAciExU1JKSzRtUkQycENaNmItODdPdVhpdnRreGdUak94c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2024-04-02T19:16:54Z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m121 Google Docs Renderer</vt:lpwstr>
  </property>
</Properties>
</file>