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EXCELENTÍSSIMO SENHOR DOUTOR JUIZ DE DIREITO DA VARA CÍVEL DA COMARCA DE TERRA BOA – ESTADO DO PARANÁ.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&lt;br&gt;&lt;br&gt;&lt;br&gt;&lt;br&gt;&lt;br&gt;&lt;br&gt;&lt;br&gt;&lt;br&gt;&lt;br&gt;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AUTOS Nº: 0000200-02.2025.8.16.0166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&lt;br&gt;&lt;br&gt;&lt;br&gt;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[NOME DA PARTE QUE REPRESENTAMOS]</w:t>
      </w:r>
      <w:r>
        <w:rPr>
          <w:rFonts w:ascii="Arial" w:cs="Arial" w:eastAsia="Arial" w:hAnsi="Arial"/>
          <w:sz w:val="24"/>
          <w:szCs w:val="24"/>
        </w:rPr>
        <w:t xml:space="preserve">, já devidamente qualificado(a) nos autos do processo em epígrafe, que move em face de/em que contende com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[NOME DA PARTE CONTRÁRIA]</w:t>
      </w:r>
      <w:r>
        <w:rPr>
          <w:rFonts w:ascii="Arial" w:cs="Arial" w:eastAsia="Arial" w:hAnsi="Arial"/>
          <w:sz w:val="24"/>
          <w:szCs w:val="24"/>
        </w:rPr>
        <w:t xml:space="preserve">, também já qualificado(a), vem, respeitosamente, perante Vossa Excelência, por seus procuradores que esta subscrevem, em atendimento à respeitável intimação de evento [INSERIR Nº DO MOVIMENTO], manifestar-se nos seguintes termos: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&lt;center&gt;</w:t>
      </w:r>
    </w:p>
    <w:p>
      <w:pPr>
        <w:spacing w:after="120" w:before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 ESPECIFICAÇÃO DE PROVAS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&lt;/center&gt;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O presente feito versa sobre matéria de fato e de direito que demanda dilação probatória, sob pena de flagrante cerceamento de defesa e violação aos princípios constitucionais do contraditório e da ampla defesa, insculpidos no art. 5º, LV, da Constituição Federal.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A fase instrutória é, portanto, indispensável para a correta elucidação dos pontos controvertidos e para a formação do livre convencimento motivado deste Douto Juízo, conforme preceituam os artigos 369 e 370 do Código de Processo Civil.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Nesse sentido, a parte Requerente/Requerida, com o fito de comprovar o alegado em sua peça inicial/contestatória, protesta pela produção de todas as provas em direito admitidas, em especial as que seguem:</w:t>
      </w:r>
    </w:p>
    <w:p>
      <w:pPr>
        <w:spacing w:after="0" w:before="0" w:line="360"/>
      </w:pPr>
    </w:p>
    <w:p>
      <w:pPr>
        <w:spacing w:after="120" w:before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 DO DEPOIMENTO PESSOAL DA PARTE CONTRÁRIA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Requer-se a intimação pessoal da parte contrária para prestar depoimento em audiência de instrução e julgamento, sob pena de confissão quanto à matéria de fato, nos termos do art. 385, § 1º, do Código de Processo Civil. A oitiva é fundamental para que se possam esclarecer pontos fáticos controversos da demanda.</w:t>
      </w:r>
    </w:p>
    <w:p>
      <w:pPr>
        <w:spacing w:after="0" w:before="0" w:line="360"/>
      </w:pPr>
    </w:p>
    <w:p>
      <w:pPr>
        <w:spacing w:after="120" w:before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 DA PROVA TESTEMUNHAL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Protesta-se, igualmente, pela produção de prova testemunhal, cuja oitiva se mostra imprescindível para a comprovação dos fatos narrados. O rol de testemunhas será apresentado em momento oportuno, na forma e no prazo estabelecidos por este Juízo, conforme faculta o art. 357, § 4º, do CPC.</w:t>
      </w:r>
    </w:p>
    <w:p>
      <w:pPr>
        <w:spacing w:after="0" w:before="0" w:line="360"/>
      </w:pPr>
    </w:p>
    <w:p>
      <w:pPr>
        <w:spacing w:after="120" w:before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 DA PROVA PERICIAL CONTÁBIL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Considerando a complexidade da matéria fática discutida, que envolve a análise de documentos e cálculos financeiros, a produção de prova pericial contábil é medida que se impõe para o correto deslinde da controvérsia. A perícia terá como objetivo [Ex: *apurar a correta evolução do débito, a legalidade dos encargos contratuais aplicados, a existência de capitalização de juros, e responder aos quesitos que serão oportunamente apresentados*].</w:t>
      </w:r>
    </w:p>
    <w:p>
      <w:pPr>
        <w:spacing w:after="0" w:before="0" w:line="360"/>
      </w:pPr>
    </w:p>
    <w:p>
      <w:pPr>
        <w:spacing w:after="120" w:before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IV. DA PROVA DOCUMENTAL SUPERVENIENTE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Requer, por fim, a juntada de novos documentos que se façam necessários no decorrer da instrução processual, na forma do art. 435 do Código de Processo Civil, a fim de contrapor fatos ou documentos que venham a ser produzidos nos autos.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A jurisprudência pátria é uníssona ao reconhecer que o indeferimento de provas pertinentes e necessárias à demonstração do direito alegado configura cerceamento de defesa, maculando de nulidade o processo. O juiz é o destinatário da prova, mas seu poder de indeferimento restringe-se às diligências inúteis ou meramente protelatórias, o que não se verifica no presente caso.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Nesse sentido, colaciona-se o entendimento do Egrégio Superior Tribunal de Justiça:</w:t>
      </w:r>
    </w:p>
    <w:p>
      <w:pPr>
        <w:spacing w:after="0" w:before="0" w:line="360"/>
      </w:pPr>
    </w:p>
    <w:p>
      <w:pPr>
        <w:spacing w:after="60" w:before="60" w:line="240"/>
        <w:ind w:left="2267"/>
        <w:jc w:val="both"/>
      </w:pPr>
      <w:r>
        <w:rPr>
          <w:rFonts w:ascii="Arial" w:cs="Arial" w:eastAsia="Arial" w:hAnsi="Arial"/>
          <w:sz w:val="20"/>
          <w:szCs w:val="20"/>
        </w:rPr>
        <w:t xml:space="preserve">PROCESSUAL CIVIL. AGRAVO INTERNO NO AGRAVO EM RECURSO ESPECIAL. AÇÃO DE COBRANÇA. CONTRATO DE PRESTAÇÃO DE SERVIÇOS. CERCEAMENTO DE DEFESA. INDEFERIMENTO DE PROVA PERICIAL. LIVRE CONVENCIMENTO MOTIVADO. REEXAME DE FATOS E PROVAS. SÚMULA 7/STJ. 1. A jurisprudência desta Corte Superior é no sentido de que o juiz é o destinatário final da prova, a quem cabe avaliar a pertinência da produção probatória, a fim de formar seu convencimento, não havendo cerceamento de defesa quando o julgador, motivadamente, indefere a produção de provas consideradas impertinentes ou meramente protelatórias. (...)</w:t>
      </w:r>
    </w:p>
    <w:p>
      <w:pPr>
        <w:spacing w:after="60" w:before="60" w:line="240"/>
        <w:ind w:left="2267"/>
        <w:jc w:val="both"/>
      </w:pPr>
      <w:r>
        <w:rPr>
          <w:rFonts w:ascii="Arial" w:cs="Arial" w:eastAsia="Arial" w:hAnsi="Arial"/>
          <w:sz w:val="20"/>
          <w:szCs w:val="20"/>
        </w:rPr>
        <w:t xml:space="preserve">(STJ, AgInt no AREsp 1690000/SP, Rel. Ministro RAUL ARAÚJO, QUARTA TURMA, julgado em 23/08/2021, DJe 26/08/2021).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Desta forma, a especificação das provas acima delineadas é essencial para que a parte possa se desincumbir de seu ônus probatório, nos termos do art. 373 do CPC, e para que seja alcançada a verdade real dos fatos, garantindo-se uma prestação jurisdicional justa e efetiva.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Ante o exposto, requer o recebimento da presente manifestação e o deferimento da produção de todas as provas acima especificadas, por serem de fundamental importância para a correta solução da lide.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&amp;nbsp;&amp;nbsp;&amp;nbsp;&amp;nbsp;&amp;nbsp;&amp;nbsp;&amp;nbsp;&amp;nbsp;&amp;nbsp;&amp;nbsp;Termos em que,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&amp;nbsp;&amp;nbsp;&amp;nbsp;&amp;nbsp;&amp;nbsp;&amp;nbsp;&amp;nbsp;&amp;nbsp;&amp;nbsp;&amp;nbsp;Pede deferimento.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</w:pPr>
    </w:p>
    <w:p>
      <w:pPr>
        <w:spacing w:after="120" w:before="240" w:line="36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&amp;nbsp;&amp;nbsp;&amp;nbsp;&amp;nbsp;&amp;nbsp;&amp;nbsp;&amp;nbsp;&amp;nbsp;&amp;nbsp;&amp;nbsp;*Curitiba, datado e assinado eletronicamente.*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&lt;center&gt;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&lt;font face="Brush Script MT" size="6"&gt;&lt;i&gt;Ademir Olegário Marques&lt;/i&gt;&lt;/font&gt;&lt;br&gt;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&lt;font size="2"&gt;ADVOGADO&lt;/font&gt;&lt;br&gt;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0"/>
          <w:szCs w:val="20"/>
        </w:rPr>
        <w:t xml:space="preserve">&lt;FONT SIZE="2"&gt;OAB/PR 95.461&lt;/FONT&gt;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&lt;/center&gt;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&lt;center&gt;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&lt;font face="Brush Script MT" size="6"&gt;&lt;i&gt;Pedro Eduardo Cortez Gameiro&lt;/i&gt;&lt;/font&gt;&lt;br&gt;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&lt;font size="2"&gt;ADVOGADO&lt;/font&gt;&lt;br&gt;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0"/>
          <w:szCs w:val="20"/>
        </w:rPr>
        <w:t xml:space="preserve">&lt;FONT SIZE="2"&gt;OAB/PR 73.853&lt;/FONT&gt;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&lt;/center&gt;</w:t>
      </w:r>
    </w:p>
    <w:sectPr>
      <w:pgSz w:w="11905" w:h="16837" w:orient="portrait"/>
      <w:pgMar w:top="1700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after="0" w:before="0"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2026-05-23T20:06:33.533Z</dcterms:created>
  <dcterms:modified xsi:type="dcterms:W3CDTF">2026-05-23T20:06:33.533Z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