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EXCELENTÍSSIMO SENHOR DOUTOR DESEMBARGADOR PRESIDENTE DO EGRÉGIO TRIBUNAL DE JUSTIÇA DO ESTADO DO PARANÁ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&lt;br&gt;</w:t>
      </w: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&lt;br&gt;</w:t>
      </w: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&lt;br&gt;</w:t>
      </w: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&lt;br&gt;</w:t>
      </w: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&lt;br&gt;</w:t>
      </w: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&lt;br&gt;</w:t>
      </w: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&lt;br&gt;</w:t>
      </w: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&lt;br&gt;</w:t>
      </w: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&lt;br&gt;</w:t>
      </w: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&lt;br&gt;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AUTOS Nº: 0001498-97.2023.8.16.0069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JOÃO DA SILVA</w:t>
      </w:r>
      <w:r>
        <w:rPr>
          <w:rFonts w:ascii="Arial" w:cs="Arial" w:eastAsia="Arial" w:hAnsi="Arial"/>
          <w:sz w:val="24"/>
          <w:szCs w:val="24"/>
        </w:rPr>
        <w:t xml:space="preserve">, já devidamente qualificado nos autos do processo em epígrafe, por seus advogados que esta subscrevem, vem, com o devido respeito e acatamento, perante Vossa Excelência, inconformado, *data maxima venia*, com o v. acórdão proferido pela Colenda Câmara Cível deste Egrégio Tribunal de Justiça, com fundamento no artigo 105, inciso III, alíneas “a” e “c”, da Constituição da República, e nos artigos 1.029 e seguintes do Código de Processo Civil, interpor o presente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RECURSO ESPECIAL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em face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BANCO NACIONAL S.A.</w:t>
      </w:r>
      <w:r>
        <w:rPr>
          <w:rFonts w:ascii="Arial" w:cs="Arial" w:eastAsia="Arial" w:hAnsi="Arial"/>
          <w:sz w:val="24"/>
          <w:szCs w:val="24"/>
        </w:rPr>
        <w:t xml:space="preserve">, também já qualificado, o que faz pelas razões de fato e de direito anexas, requerendo que, após o juízo de admissibilidade, seja o presente recurso remetido ao Colendo Superior Tribunal de Justiça para o seu devido processamento e julgamento.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Informa, desde já, que o preparo recursal encontra-se devidamente recolhido, conforme guia anexa, preenchendo, assim, todos os pressupostos de admissibilidade.</w:t>
      </w:r>
    </w:p>
    <w:p>
      <w:pPr>
        <w:spacing w:after="0" w:before="0" w:line="360"/>
      </w:pPr>
    </w:p>
    <w:p>
      <w:pPr>
        <w:spacing w:after="0" w:before="120" w:line="360"/>
        <w:ind w:firstLine="1417"/>
        <w:jc w:val="left"/>
      </w:pPr>
      <w:r>
        <w:rPr>
          <w:rFonts w:ascii="Arial" w:cs="Arial" w:eastAsia="Arial" w:hAnsi="Arial"/>
          <w:sz w:val="24"/>
          <w:szCs w:val="24"/>
        </w:rPr>
        <w:t xml:space="preserve">Termos em que,</w:t>
      </w:r>
    </w:p>
    <w:p>
      <w:pPr>
        <w:spacing w:after="0" w:before="120" w:line="360"/>
        <w:ind w:firstLine="1417"/>
        <w:jc w:val="left"/>
      </w:pPr>
      <w:r>
        <w:rPr>
          <w:rFonts w:ascii="Arial" w:cs="Arial" w:eastAsia="Arial" w:hAnsi="Arial"/>
          <w:sz w:val="24"/>
          <w:szCs w:val="24"/>
        </w:rPr>
        <w:t xml:space="preserve">Pede deferimento.</w:t>
      </w:r>
    </w:p>
    <w:p>
      <w:pPr>
        <w:spacing w:after="0" w:before="0" w:line="360"/>
      </w:pPr>
    </w:p>
    <w:p>
      <w:pPr>
        <w:spacing w:after="120" w:before="240" w:line="36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*Curitiba, datado e assinado eletronicamente.*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&lt;br&gt;</w:t>
      </w: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&lt;br&gt;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*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Ademir Olegário Marques</w:t>
      </w:r>
      <w:r>
        <w:rPr>
          <w:rFonts w:ascii="Arial" w:cs="Arial" w:eastAsia="Arial" w:hAnsi="Arial"/>
          <w:sz w:val="24"/>
          <w:szCs w:val="24"/>
        </w:rPr>
        <w:t xml:space="preserve">*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sz w:val="20"/>
          <w:szCs w:val="20"/>
        </w:rPr>
        <w:t xml:space="preserve">**OAB/PR 95.461**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*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Pedro Eduardo Cortez Gameiro</w:t>
      </w:r>
      <w:r>
        <w:rPr>
          <w:rFonts w:ascii="Arial" w:cs="Arial" w:eastAsia="Arial" w:hAnsi="Arial"/>
          <w:sz w:val="24"/>
          <w:szCs w:val="24"/>
        </w:rPr>
        <w:t xml:space="preserve">*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sz w:val="20"/>
          <w:szCs w:val="20"/>
        </w:rPr>
        <w:t xml:space="preserve">**OAB/PR 73.853**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---</w:t>
      </w: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&lt;br&gt;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RAZÕES DE RECURSO ESPECIAL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AUTOS Nº:</w:t>
      </w:r>
      <w:r>
        <w:rPr>
          <w:rFonts w:ascii="Arial" w:cs="Arial" w:eastAsia="Arial" w:hAnsi="Arial"/>
          <w:sz w:val="24"/>
          <w:szCs w:val="24"/>
        </w:rPr>
        <w:t xml:space="preserve"> 0001498-97.2023.8.16.0069</w:t>
      </w: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RECORRENTE:</w:t>
      </w:r>
      <w:r>
        <w:rPr>
          <w:rFonts w:ascii="Arial" w:cs="Arial" w:eastAsia="Arial" w:hAnsi="Arial"/>
          <w:sz w:val="24"/>
          <w:szCs w:val="24"/>
        </w:rPr>
        <w:t xml:space="preserve"> JOÃO DA SILVA</w:t>
      </w: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RECORRIDO:</w:t>
      </w:r>
      <w:r>
        <w:rPr>
          <w:rFonts w:ascii="Arial" w:cs="Arial" w:eastAsia="Arial" w:hAnsi="Arial"/>
          <w:sz w:val="24"/>
          <w:szCs w:val="24"/>
        </w:rPr>
        <w:t xml:space="preserve"> BANCO NACIONAL S.A.</w:t>
      </w: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ORIGEM:</w:t>
      </w:r>
      <w:r>
        <w:rPr>
          <w:rFonts w:ascii="Arial" w:cs="Arial" w:eastAsia="Arial" w:hAnsi="Arial"/>
          <w:sz w:val="24"/>
          <w:szCs w:val="24"/>
        </w:rPr>
        <w:t xml:space="preserve"> EGRÉGIO TRIBUNAL DE JUSTIÇA DO ESTADO DO PARANÁ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EGRÉGIO SUPERIOR TRIBUNAL DE JUSTIÇA,</w:t>
      </w: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COLENDA TURMA,</w:t>
      </w: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ÍNCLITOS MINISTROS.</w:t>
      </w:r>
    </w:p>
    <w:p>
      <w:pPr>
        <w:spacing w:after="0" w:before="0" w:line="360"/>
      </w:pPr>
    </w:p>
    <w:p>
      <w:pPr>
        <w:spacing w:after="120" w:before="12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I. DOS PRESSUPOSTOS DE ADMISSIBILIDADE RECURSAL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O presente Recurso Especial preenche todos os requisitos de admissibilidade intrínsecos e extrínsecos, merecendo, portanto, ser conhecido e, ao final, provido.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1.1. DO CABIMENTO E DO FUNDAMENTO CONSTITUCIONAL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O recurso é cabível com fundamento no artigo 105, inciso III, alíneas “a” e “c”, da Constituição Federal, porquanto o v. acórdão recorrido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contrariou frontalmente dispositivos de lei federal</w:t>
      </w:r>
      <w:r>
        <w:rPr>
          <w:rFonts w:ascii="Arial" w:cs="Arial" w:eastAsia="Arial" w:hAnsi="Arial"/>
          <w:sz w:val="24"/>
          <w:szCs w:val="24"/>
        </w:rPr>
        <w:t xml:space="preserve">, notadamente os artigos 190, 393, 507 e 525, §§ 4º e 5º, do Código de Processo Civil, além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conferir à legislação federal interpretação divergente</w:t>
      </w:r>
      <w:r>
        <w:rPr>
          <w:rFonts w:ascii="Arial" w:cs="Arial" w:eastAsia="Arial" w:hAnsi="Arial"/>
          <w:sz w:val="24"/>
          <w:szCs w:val="24"/>
        </w:rPr>
        <w:t xml:space="preserve"> daquela que lhe foi atribuída por este Colendo Superior Tribunal de Justiça, conforme será pormenorizadamente demonstrado.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1.2. DA TEMPESTIVIDADE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O v. acórdão que julgou os embargos de declaração foi disponibilizado no Diário da Justiça Eletrônico, considerando-se a data da publicação o primeiro dia útil subsequente. A intimação eletrônica da parte Recorrente ocorreu em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24 de maio de 2026</w:t>
      </w:r>
      <w:r>
        <w:rPr>
          <w:rFonts w:ascii="Arial" w:cs="Arial" w:eastAsia="Arial" w:hAnsi="Arial"/>
          <w:sz w:val="24"/>
          <w:szCs w:val="24"/>
        </w:rPr>
        <w:t xml:space="preserve">, sendo o início do prazo para a interposição do presente recurso o dia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25 de maio de 2026</w:t>
      </w:r>
      <w:r>
        <w:rPr>
          <w:rFonts w:ascii="Arial" w:cs="Arial" w:eastAsia="Arial" w:hAnsi="Arial"/>
          <w:sz w:val="24"/>
          <w:szCs w:val="24"/>
        </w:rPr>
        <w:t xml:space="preserve"> (segunda-feira).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Nos termos do artigo 1.003, § 5º, do Código de Processo Civil, o prazo para a interposição do Recurso Especial é de 15 (quinze) dias úteis. Assim, o termo final para o protocolo da presente peça é o dia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13 de junho de 2026</w:t>
      </w:r>
      <w:r>
        <w:rPr>
          <w:rFonts w:ascii="Arial" w:cs="Arial" w:eastAsia="Arial" w:hAnsi="Arial"/>
          <w:sz w:val="24"/>
          <w:szCs w:val="24"/>
        </w:rPr>
        <w:t xml:space="preserve">. Desta forma, o presente recurso é manifestamente tempestivo.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1.3. DO PREQUESTIONAMENTO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A matéria federal controvertida foi amplamente debatida e decidida pelo Tribunal *a quo*, estando, portanto, devidamente prequestionada. A violação aos artigos 507 e 525, §§ 4º e 5º, do CPC, que tratam da preclusão lógica e da possibilidade de levantamento da parte incontroversa do débito, foi o cerne da controvérsia julgada pelo acórdão recorrido, o que atende plenamente aos requisitos das Súmulas 282 e 356 do Supremo Tribunal Federal, aplicáveis à espécie.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1.4. DO ESGOTAMENTO DAS INSTÂNCIAS ORDINÁRIAS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O v. acórdão impugnado foi proferido em sede de Agravo de Instrumento, contra o qual foram opostos Embargos de Declaração, devidamente julgados. Inexistem, portanto, outros recursos cabíveis nas instâncias ordinárias, encontrando-se a via recursal devidamente exaurida.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1.5. DA NÃO INCIDÊNCIA DA SÚMULA 7/STJ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A presente insurgência não visa ao reexame do conjunto fático-probatório, mas sim à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revaloração jurídica dos fatos soberanamente delineados no acórdão recorrido</w:t>
      </w:r>
      <w:r>
        <w:rPr>
          <w:rFonts w:ascii="Arial" w:cs="Arial" w:eastAsia="Arial" w:hAnsi="Arial"/>
          <w:sz w:val="24"/>
          <w:szCs w:val="24"/>
        </w:rPr>
        <w:t xml:space="preserve">. A controvérsia é estritamente de direito e cinge-se à correta interpretação e aplicação dos artigos 507 e 525, §§ 4º e 5º, do CPC, frente a uma situação fática incontroversa: o reconhecimento de parte da dívida pelo devedor e o posterior levantamento de valores pelo credor.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Portanto, não há que se falar no óbice da Súmula 7 desta Egrégia Corte.</w:t>
      </w:r>
    </w:p>
    <w:p>
      <w:pPr>
        <w:spacing w:after="0" w:before="0" w:line="360"/>
      </w:pPr>
    </w:p>
    <w:p>
      <w:pPr>
        <w:spacing w:after="120" w:before="12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II. SÍNTESE FÁTICA E PROCESSUAL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Trata-se, na origem, de cumprimento de sentença movido pelo ora Recorrente em face da instituição financeira Recorrida. Intimada para pagamento, a executada apresentou impugnação, na qual, embora tenha alegado excesso de execução,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reconheceu expressamente como devido o montante de R$ 170.580,72 (cento e setenta mil, quinhentos e oitenta reais e setenta e dois centavos)</w:t>
      </w:r>
      <w:r>
        <w:rPr>
          <w:rFonts w:ascii="Arial" w:cs="Arial" w:eastAsia="Arial" w:hAnsi="Arial"/>
          <w:sz w:val="24"/>
          <w:szCs w:val="24"/>
        </w:rPr>
        <w:t xml:space="preserve">, tornando tal valor incontroverso.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Diante do reconhecimento, o juízo de primeiro grau, em estrita observância ao disposto no art. 525, § 4º, do CPC, determinou a expedição de alvará para levantamento da quantia incontroversa, o que foi devidamente cumprido pelo Recorrente.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Contudo, em sede de agravo de instrumento, o Egrégio Tribunal de Justiça do Estado do Paraná, de forma surpreendente, reformou a decisão de piso para determinar que o Recorrente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devolvesse aos autos a integralidade do valor já levantado</w:t>
      </w:r>
      <w:r>
        <w:rPr>
          <w:rFonts w:ascii="Arial" w:cs="Arial" w:eastAsia="Arial" w:hAnsi="Arial"/>
          <w:sz w:val="24"/>
          <w:szCs w:val="24"/>
        </w:rPr>
        <w:t xml:space="preserve">, sob o fundamento de que a discussão sobre os encargos poderia afetar o montante principal.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Tal decisão, com o devido respeito, representa manifesta violação à legislação federal, à segurança jurídica e à lógica processual, motivo pelo qual se interpõe o presente Recurso Especial.</w:t>
      </w:r>
    </w:p>
    <w:p>
      <w:pPr>
        <w:spacing w:after="0" w:before="0" w:line="360"/>
      </w:pPr>
    </w:p>
    <w:p>
      <w:pPr>
        <w:spacing w:after="120" w:before="12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III. DO MÉRITO RECURSAL – DAS RAZÕES PARA A REFORMA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DA VIOLAÇÃO DIRETA AOS ARTIGOS 507 E 525, §§ 4º E 5º, DO CÓDIGO DE PROCESSO CIVIL – PRECLUSÃO LÓGICA SOBRE A PARTE INCONTROVERSA DO DÉBITO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O v. acórdão recorrido, ao determinar a devolução de quantia que a própria parte devedora reconheceu como devida, incorreu em flagrante e literal violação aos artigos 507 e 525, §§ 4º e 5º, do Código de Processo Civil.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O artigo 525, em seus parágrafos 4º e 5º, é cristalino ao estabelecer o tratamento a ser dado à parte incontroversa do débito em sede de cumprimento de sentença:</w:t>
      </w:r>
    </w:p>
    <w:p>
      <w:pPr>
        <w:spacing w:after="0" w:before="0" w:line="360"/>
      </w:pPr>
    </w:p>
    <w:p>
      <w:pPr>
        <w:spacing w:after="60" w:before="60" w:line="240"/>
        <w:ind w:left="2267"/>
        <w:jc w:val="both"/>
      </w:pPr>
      <w:r>
        <w:rPr>
          <w:rFonts w:ascii="Arial" w:cs="Arial" w:eastAsia="Arial" w:hAnsi="Arial"/>
          <w:sz w:val="20"/>
          <w:szCs w:val="20"/>
        </w:rPr>
        <w:t xml:space="preserve">Art. 525. (...)</w:t>
      </w:r>
    </w:p>
    <w:p>
      <w:pPr>
        <w:spacing w:after="60" w:before="60" w:line="240"/>
        <w:ind w:left="2267"/>
        <w:jc w:val="both"/>
      </w:pPr>
      <w:r>
        <w:rPr>
          <w:rFonts w:ascii="Arial" w:cs="Arial" w:eastAsia="Arial" w:hAnsi="Arial"/>
          <w:sz w:val="20"/>
          <w:szCs w:val="20"/>
        </w:rPr>
        <w:t xml:space="preserve">§ 4º Quando o executado alegar que o exequente, em excesso de execução, pleiteia quantia superior à resultante da sentença,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cumprir-lhe-á declarar de imediato o valor que entende correto</w:t>
      </w:r>
      <w:r>
        <w:rPr>
          <w:rFonts w:ascii="Arial" w:cs="Arial" w:eastAsia="Arial" w:hAnsi="Arial"/>
          <w:sz w:val="20"/>
          <w:szCs w:val="20"/>
        </w:rPr>
        <w:t xml:space="preserve">, apresentando demonstrativo discriminado e atualizado de seu cálculo.</w:t>
      </w:r>
    </w:p>
    <w:p>
      <w:pPr>
        <w:spacing w:after="60" w:before="60" w:line="240"/>
        <w:ind w:left="2267"/>
        <w:jc w:val="both"/>
      </w:pPr>
      <w:r>
        <w:rPr>
          <w:rFonts w:ascii="Arial" w:cs="Arial" w:eastAsia="Arial" w:hAnsi="Arial"/>
          <w:sz w:val="20"/>
          <w:szCs w:val="20"/>
        </w:rPr>
        <w:t xml:space="preserve">§ 5º Na hipótese do § 4º,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não apontado o valor correto ou não apresentado o demonstrativo, a impugnação será liminarmente rejeitada</w:t>
      </w:r>
      <w:r>
        <w:rPr>
          <w:rFonts w:ascii="Arial" w:cs="Arial" w:eastAsia="Arial" w:hAnsi="Arial"/>
          <w:sz w:val="20"/>
          <w:szCs w:val="20"/>
        </w:rPr>
        <w:t xml:space="preserve">, se o excesso de execução for o seu único fundamento, ou, se houver outro, a impugnação será processada, mas o juiz não examinará a alegação de excesso de execução.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A finalidade da norma é evidente: conferir celeridade e efetividade à execução, permitindo que o credor receba, desde logo, a parte da dívida sobre a qual não pende qualquer controvérsia. O ato do devedor de apontar o valor que entende correto constitui verdadeiro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reconhecimento jurídico do pedido</w:t>
      </w:r>
      <w:r>
        <w:rPr>
          <w:rFonts w:ascii="Arial" w:cs="Arial" w:eastAsia="Arial" w:hAnsi="Arial"/>
          <w:sz w:val="24"/>
          <w:szCs w:val="24"/>
        </w:rPr>
        <w:t xml:space="preserve"> em relação a essa parcela, operando-se, sobre ela,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preclusão lógica</w:t>
      </w:r>
      <w:r>
        <w:rPr>
          <w:rFonts w:ascii="Arial" w:cs="Arial" w:eastAsia="Arial" w:hAnsi="Arial"/>
          <w:sz w:val="24"/>
          <w:szCs w:val="24"/>
        </w:rPr>
        <w:t xml:space="preserve">, nos termos do artigo 507 do CPC.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É vedado à parte praticar ato processual incompatível com outro anteriormente praticado. Ao reconhecer parte do débito como devida, o Recorrido abriu mão de qualquer discussão futura sobre tal montante, que se tornou líquido, certo e exigível de imediato.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O acórdão paranaense, ao ignorar o reconhecimento expresso do devedor e determinar a devolução de um valor sobre o qual não havia mais litígio, subverteu a lógica do sistema processual, punindo o credor e premiando o devedor com a possibilidade de rediscutir o que já havia confessado. Trata-se de clara negativa de vigência aos dispositivos federais invocados.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DO DISSÍDIO JURISPRUDENCIAL – INTERPRETAÇÃO DIVERGENTE DA LEGISLAÇÃO FEDERAL (ART. 105, III, “C”, DA CF)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Além da violação direta à lei federal, o v. acórdão recorrido diverge frontalmente da jurisprudência pacificada deste Colendo Superior Tribunal de Justiça, que já se manifestou em diversas oportunidades sobre a possibilidade de levantamento imediato da parte incontroversa do débito.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O acórdão recorrido, ao condicionar o levantamento da parte incontroversa à resolução final da impugnação, adota tese diametralmente oposta àquela firmada por esta Corte Superior.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Como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acórdão paradigma</w:t>
      </w:r>
      <w:r>
        <w:rPr>
          <w:rFonts w:ascii="Arial" w:cs="Arial" w:eastAsia="Arial" w:hAnsi="Arial"/>
          <w:sz w:val="24"/>
          <w:szCs w:val="24"/>
        </w:rPr>
        <w:t xml:space="preserve">, cita-se o julgamento do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REsp 1.698.939/RS</w:t>
      </w:r>
      <w:r>
        <w:rPr>
          <w:rFonts w:ascii="Arial" w:cs="Arial" w:eastAsia="Arial" w:hAnsi="Arial"/>
          <w:sz w:val="24"/>
          <w:szCs w:val="24"/>
        </w:rPr>
        <w:t xml:space="preserve">, de relatoria do Ministro Paulo de Tarso Sanseverino, cuja ementa é clara ao reforçar a sistemática do CPC/15:</w:t>
      </w:r>
    </w:p>
    <w:p>
      <w:pPr>
        <w:spacing w:after="0" w:before="0" w:line="360"/>
      </w:pPr>
    </w:p>
    <w:p>
      <w:pPr>
        <w:spacing w:after="60" w:before="60" w:line="240"/>
        <w:ind w:left="2267"/>
        <w:jc w:val="both"/>
      </w:pPr>
      <w:r>
        <w:rPr>
          <w:rFonts w:ascii="Arial" w:cs="Arial" w:eastAsia="Arial" w:hAnsi="Arial"/>
          <w:sz w:val="20"/>
          <w:szCs w:val="20"/>
        </w:rPr>
        <w:t xml:space="preserve">RECURSO ESPECIAL. PROCESSUAL CIVIL. CUMPRIMENTO DE SENTENÇA. IMPUGNAÇÃO. ALEGAÇÃO DE EXCESSO DE EXECUÇÃO. INDICAÇÃO DO VALOR DEVIDO. ART. 525, § 4º, DO CPC/2015. PROSSEGUIMENTO DA EXECUÇÃO PELA PARTE INCONTROVERSA. POSSIBILIDADE.</w:t>
      </w:r>
    </w:p>
    <w:p>
      <w:pPr>
        <w:spacing w:after="60" w:before="60" w:line="240"/>
        <w:ind w:left="2267"/>
        <w:jc w:val="both"/>
      </w:pPr>
      <w:r>
        <w:rPr>
          <w:rFonts w:ascii="Arial" w:cs="Arial" w:eastAsia="Arial" w:hAnsi="Arial"/>
          <w:sz w:val="20"/>
          <w:szCs w:val="20"/>
        </w:rPr>
        <w:t xml:space="preserve">1. Controvérsia acerca da possibilidade de se determinar o prosseguimento da execução quanto à parte incontroversa do débito, na pendência de recurso de apelação contra a decisão que julgou parcialmente procedente a impugnação ao cumprimento de sentença.</w:t>
      </w:r>
    </w:p>
    <w:p>
      <w:pPr>
        <w:spacing w:after="60" w:before="60" w:line="240"/>
        <w:ind w:left="2267"/>
        <w:jc w:val="both"/>
      </w:pPr>
      <w:r>
        <w:rPr>
          <w:rFonts w:ascii="Arial" w:cs="Arial" w:eastAsia="Arial" w:hAnsi="Arial"/>
          <w:sz w:val="20"/>
          <w:szCs w:val="20"/>
        </w:rPr>
        <w:t xml:space="preserve">2. Nosso Código de Processo Civil de 2015, tal como o de 1973, com a reforma introduzida pela Lei 11.232/2005, separou o joio do trigo, tratando de modo distinto a parte da dívida que é objeto de controvérsia daquela que não é.</w:t>
      </w:r>
    </w:p>
    <w:p>
      <w:pPr>
        <w:spacing w:after="60" w:before="60" w:line="240"/>
        <w:ind w:left="2267"/>
        <w:jc w:val="both"/>
      </w:pPr>
      <w:r>
        <w:rPr>
          <w:rFonts w:ascii="Arial" w:cs="Arial" w:eastAsia="Arial" w:hAnsi="Arial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 parte incontroversa da dívida, que não foi objeto da impugnação, não é afetada pela concessão de efeito suspensivo à impugnação, não sendo lícito ao magistrado obstar o seu prosseguimento.</w:t>
      </w:r>
    </w:p>
    <w:p>
      <w:pPr>
        <w:spacing w:after="60" w:before="60" w:line="240"/>
        <w:ind w:left="2267"/>
        <w:jc w:val="both"/>
      </w:pPr>
      <w:r>
        <w:rPr>
          <w:rFonts w:ascii="Arial" w:cs="Arial" w:eastAsia="Arial" w:hAnsi="Arial"/>
          <w:sz w:val="20"/>
          <w:szCs w:val="20"/>
        </w:rPr>
        <w:t xml:space="preserve">4. Caso concreto em que a executada alegou excesso de execução, apontando como devido o incontroverso montante de R$ 103.203,13, tendo o juízo de origem, ao julgar a impugnação, reconhecido como devido o valor de R$ 165.106,83.</w:t>
      </w:r>
    </w:p>
    <w:p>
      <w:pPr>
        <w:spacing w:after="60" w:before="60" w:line="240"/>
        <w:ind w:left="2267"/>
        <w:jc w:val="both"/>
      </w:pPr>
      <w:r>
        <w:rPr>
          <w:rFonts w:ascii="Arial" w:cs="Arial" w:eastAsia="Arial" w:hAnsi="Arial"/>
          <w:sz w:val="20"/>
          <w:szCs w:val="20"/>
        </w:rPr>
        <w:t xml:space="preserve">5.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 prosseguimento da execução pelo valor incontroverso (R$ 103.203,13), constitui, portanto, direito do exequente, não havendo óbice ao seu levantamento.</w:t>
      </w:r>
    </w:p>
    <w:p>
      <w:pPr>
        <w:spacing w:after="60" w:before="60" w:line="240"/>
        <w:ind w:left="2267"/>
        <w:jc w:val="both"/>
      </w:pPr>
      <w:r>
        <w:rPr>
          <w:rFonts w:ascii="Arial" w:cs="Arial" w:eastAsia="Arial" w:hAnsi="Arial"/>
          <w:sz w:val="20"/>
          <w:szCs w:val="20"/>
        </w:rPr>
        <w:t xml:space="preserve">6. Doutrina e jurisprudência acerca do tema.</w:t>
      </w:r>
    </w:p>
    <w:p>
      <w:pPr>
        <w:spacing w:after="60" w:before="60" w:line="240"/>
        <w:ind w:left="2267"/>
        <w:jc w:val="both"/>
      </w:pPr>
      <w:r>
        <w:rPr>
          <w:rFonts w:ascii="Arial" w:cs="Arial" w:eastAsia="Arial" w:hAnsi="Arial"/>
          <w:sz w:val="20"/>
          <w:szCs w:val="20"/>
        </w:rPr>
        <w:t xml:space="preserve">7. RECURSO ESPECIAL PROVIDO.</w:t>
      </w:r>
    </w:p>
    <w:p>
      <w:pPr>
        <w:spacing w:after="60" w:before="60" w:line="240"/>
        <w:ind w:left="2267"/>
        <w:jc w:val="both"/>
      </w:pPr>
      <w:r>
        <w:rPr>
          <w:rFonts w:ascii="Arial" w:cs="Arial" w:eastAsia="Arial" w:hAnsi="Arial"/>
          <w:sz w:val="20"/>
          <w:szCs w:val="20"/>
        </w:rPr>
        <w:t xml:space="preserve">(REsp 1698939/RS, Rel. Ministro PAULO DE TARSO SANSEVERINO, TERCEIRA TURMA, julgado em 07/11/2017, DJe 13/11/2017)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O cotejo analítico entre os julgados evidencia a similitude fática e a divergência jurídica: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* 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No acórdão recorrido (TJPR):</w:t>
      </w:r>
      <w:r>
        <w:rPr>
          <w:rFonts w:ascii="Arial" w:cs="Arial" w:eastAsia="Arial" w:hAnsi="Arial"/>
          <w:sz w:val="24"/>
          <w:szCs w:val="24"/>
        </w:rPr>
        <w:t xml:space="preserve"> Mesmo diante do reconhecimento expresso de parte da dívida pelo devedor e do levantamento dos valores, determinou-se a devolução da quantia, obstando a satisfação do crédito incontroverso.</w:t>
      </w: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* 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No acórdão paradigma (STJ):</w:t>
      </w:r>
      <w:r>
        <w:rPr>
          <w:rFonts w:ascii="Arial" w:cs="Arial" w:eastAsia="Arial" w:hAnsi="Arial"/>
          <w:sz w:val="24"/>
          <w:szCs w:val="24"/>
        </w:rPr>
        <w:t xml:space="preserve"> Ficou assentado que o prosseguimento da execução pelo valor incontroverso é um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direito do exequente</w:t>
      </w:r>
      <w:r>
        <w:rPr>
          <w:rFonts w:ascii="Arial" w:cs="Arial" w:eastAsia="Arial" w:hAnsi="Arial"/>
          <w:sz w:val="24"/>
          <w:szCs w:val="24"/>
        </w:rPr>
        <w:t xml:space="preserve">, não havendo qualquer óbice ao seu levantamento, mesmo na pendência de discussão sobre a parte controvertida.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A decisão do Tribunal de origem, portanto, vai de encontro à teleologia da norma processual e à interpretação consolidada por este Superior Tribunal de Justiça, o que impõe a sua reforma para restabelecer a correta aplicação do direito federal.</w:t>
      </w:r>
    </w:p>
    <w:p>
      <w:pPr>
        <w:spacing w:after="0" w:before="0" w:line="360"/>
      </w:pPr>
    </w:p>
    <w:p>
      <w:pPr>
        <w:spacing w:after="120" w:before="12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IV. DOS PEDIDOS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Ante o exposto, o Recorrente requer que este Colendo Superior Tribunal de Justiça se digne a: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a)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CONHECER</w:t>
      </w:r>
      <w:r>
        <w:rPr>
          <w:rFonts w:ascii="Arial" w:cs="Arial" w:eastAsia="Arial" w:hAnsi="Arial"/>
          <w:sz w:val="24"/>
          <w:szCs w:val="24"/>
        </w:rPr>
        <w:t xml:space="preserve"> do presente Recurso Especial, porquanto preenchidos todos os seus pressupostos de admissibilidade;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b) No mérito,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DAR-LHE TOTAL PROVIMENTO</w:t>
      </w:r>
      <w:r>
        <w:rPr>
          <w:rFonts w:ascii="Arial" w:cs="Arial" w:eastAsia="Arial" w:hAnsi="Arial"/>
          <w:sz w:val="24"/>
          <w:szCs w:val="24"/>
        </w:rPr>
        <w:t xml:space="preserve">, para o fim de reformar integralmente o v. acórdão recorrido, restabelecendo-se a decisão de primeiro grau que autorizou o levantamento da quantia incontroversa, reconhecendo a preclusão lógica sobre tal montante e, por conseguinte, a legalidade do ato, afastando-se a determinação de devolução de valores;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c) Inverter os ônus sucumbenciais, condenando o Recorrido ao pagamento das custas processuais e dos honorários advocatícios, a serem fixados nos termos do art. 85 do CPC.</w:t>
      </w:r>
    </w:p>
    <w:p>
      <w:pPr>
        <w:spacing w:after="0" w:before="0" w:line="360"/>
      </w:pPr>
    </w:p>
    <w:p>
      <w:pPr>
        <w:spacing w:after="0" w:before="120" w:line="360"/>
        <w:ind w:firstLine="1417"/>
        <w:jc w:val="left"/>
      </w:pPr>
      <w:r>
        <w:rPr>
          <w:rFonts w:ascii="Arial" w:cs="Arial" w:eastAsia="Arial" w:hAnsi="Arial"/>
          <w:sz w:val="24"/>
          <w:szCs w:val="24"/>
        </w:rPr>
        <w:t xml:space="preserve">Termos em que,</w:t>
      </w:r>
    </w:p>
    <w:p>
      <w:pPr>
        <w:spacing w:after="0" w:before="120" w:line="360"/>
        <w:ind w:firstLine="1417"/>
        <w:jc w:val="left"/>
      </w:pPr>
      <w:r>
        <w:rPr>
          <w:rFonts w:ascii="Arial" w:cs="Arial" w:eastAsia="Arial" w:hAnsi="Arial"/>
          <w:sz w:val="24"/>
          <w:szCs w:val="24"/>
        </w:rPr>
        <w:t xml:space="preserve">Pede deferimento.</w:t>
      </w:r>
    </w:p>
    <w:p>
      <w:pPr>
        <w:spacing w:after="0" w:before="0" w:line="360"/>
      </w:pPr>
    </w:p>
    <w:p>
      <w:pPr>
        <w:spacing w:after="120" w:before="240" w:line="36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*Curitiba, datado e assinado eletronicamente.*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&lt;br&gt;</w:t>
      </w: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&lt;br&gt;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*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Ademir Olegário Marques</w:t>
      </w:r>
      <w:r>
        <w:rPr>
          <w:rFonts w:ascii="Arial" w:cs="Arial" w:eastAsia="Arial" w:hAnsi="Arial"/>
          <w:sz w:val="24"/>
          <w:szCs w:val="24"/>
        </w:rPr>
        <w:t xml:space="preserve">*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sz w:val="20"/>
          <w:szCs w:val="20"/>
        </w:rPr>
        <w:t xml:space="preserve">**OAB/PR 95.461**</w:t>
      </w:r>
    </w:p>
    <w:p>
      <w:pPr>
        <w:spacing w:after="0" w:before="0" w:line="360"/>
      </w:pPr>
    </w:p>
    <w:p>
      <w:pPr>
        <w:spacing w:after="0" w:before="0" w:line="360"/>
        <w:ind w:firstLine="1417"/>
        <w:jc w:val="both"/>
      </w:pPr>
      <w:r>
        <w:rPr>
          <w:rFonts w:ascii="Arial" w:cs="Arial" w:eastAsia="Arial" w:hAnsi="Arial"/>
          <w:sz w:val="24"/>
          <w:szCs w:val="24"/>
        </w:rPr>
        <w:t xml:space="preserve">*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Pedro Eduardo Cortez Gameiro</w:t>
      </w:r>
      <w:r>
        <w:rPr>
          <w:rFonts w:ascii="Arial" w:cs="Arial" w:eastAsia="Arial" w:hAnsi="Arial"/>
          <w:sz w:val="24"/>
          <w:szCs w:val="24"/>
        </w:rPr>
        <w:t xml:space="preserve">*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sz w:val="20"/>
          <w:szCs w:val="20"/>
        </w:rPr>
        <w:t xml:space="preserve">**OAB/PR 73.853**</w:t>
      </w:r>
    </w:p>
    <w:sectPr>
      <w:pgSz w:w="11905" w:h="16837" w:orient="portrait"/>
      <w:pgMar w:top="1700" w:right="1133" w:bottom="1133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>
      <w:pPr>
        <w:spacing w:after="0" w:before="0" w:line="360" w:lineRule="auto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2026-05-25T19:58:41.351Z</dcterms:created>
  <dcterms:modified xsi:type="dcterms:W3CDTF">2026-05-25T19:58:41.351Z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