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38" w:rsidRDefault="00A44C38" w:rsidP="00C3677E">
      <w:pPr>
        <w:jc w:val="center"/>
        <w:rPr>
          <w:rFonts w:ascii="Arial" w:hAnsi="Arial" w:cs="Arial"/>
        </w:rPr>
      </w:pPr>
      <w:r w:rsidRPr="00BF3E15">
        <w:rPr>
          <w:rFonts w:ascii="Arial" w:hAnsi="Arial" w:cs="Arial"/>
          <w:b/>
          <w:u w:val="single"/>
        </w:rPr>
        <w:t>PROJETO DOSSIÊ DIGITAL</w:t>
      </w:r>
    </w:p>
    <w:p w:rsidR="00A1614A" w:rsidRDefault="00A1614A" w:rsidP="00711F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elaborado para orientar o preenchimento de campos</w:t>
      </w:r>
      <w:r w:rsidR="00711F85">
        <w:rPr>
          <w:rFonts w:ascii="Arial" w:hAnsi="Arial" w:cs="Arial"/>
        </w:rPr>
        <w:t xml:space="preserve"> do SICLI, com</w:t>
      </w:r>
      <w:r>
        <w:rPr>
          <w:rFonts w:ascii="Arial" w:hAnsi="Arial" w:cs="Arial"/>
        </w:rPr>
        <w:t xml:space="preserve"> informações </w:t>
      </w:r>
      <w:r w:rsidR="00711F85">
        <w:rPr>
          <w:rFonts w:ascii="Arial" w:hAnsi="Arial" w:cs="Arial"/>
        </w:rPr>
        <w:t>provenientes</w:t>
      </w:r>
      <w:r>
        <w:rPr>
          <w:rFonts w:ascii="Arial" w:hAnsi="Arial" w:cs="Arial"/>
        </w:rPr>
        <w:t xml:space="preserve"> de dados/informações validadas pelo Dossiê Digital</w:t>
      </w:r>
      <w:r w:rsidR="00711F85">
        <w:rPr>
          <w:rFonts w:ascii="Arial" w:hAnsi="Arial" w:cs="Arial"/>
        </w:rPr>
        <w:t>.</w:t>
      </w:r>
    </w:p>
    <w:p w:rsidR="00711F85" w:rsidRDefault="00C3677E">
      <w:pPr>
        <w:rPr>
          <w:rFonts w:ascii="Arial" w:hAnsi="Arial" w:cs="Arial"/>
        </w:rPr>
      </w:pPr>
      <w:r>
        <w:rPr>
          <w:rFonts w:ascii="Arial" w:hAnsi="Arial" w:cs="Arial"/>
        </w:rPr>
        <w:t>Técnica</w:t>
      </w:r>
      <w:r w:rsidR="00711F85">
        <w:rPr>
          <w:rFonts w:ascii="Arial" w:hAnsi="Arial" w:cs="Arial"/>
        </w:rPr>
        <w:t xml:space="preserve"> responsável: Naya Silva Genaro Toffanello</w:t>
      </w:r>
    </w:p>
    <w:p w:rsidR="00711F85" w:rsidRPr="00B15C14" w:rsidRDefault="00711F85">
      <w:pPr>
        <w:rPr>
          <w:rFonts w:ascii="Arial" w:hAnsi="Arial" w:cs="Arial"/>
        </w:rPr>
      </w:pPr>
      <w:r>
        <w:rPr>
          <w:rFonts w:ascii="Arial" w:hAnsi="Arial" w:cs="Arial"/>
        </w:rPr>
        <w:t>Coordenadora do Projeto: Ana Carolina de Carvalho Textor</w:t>
      </w:r>
    </w:p>
    <w:p w:rsidR="00711F85" w:rsidRDefault="00711F85" w:rsidP="00A44C38">
      <w:pPr>
        <w:jc w:val="center"/>
        <w:rPr>
          <w:rFonts w:ascii="Arial" w:hAnsi="Arial" w:cs="Arial"/>
          <w:b/>
        </w:rPr>
      </w:pPr>
    </w:p>
    <w:p w:rsidR="00351FD2" w:rsidRPr="0009300D" w:rsidRDefault="00A44C38" w:rsidP="00A44C38">
      <w:pPr>
        <w:jc w:val="center"/>
        <w:rPr>
          <w:rFonts w:ascii="Arial" w:hAnsi="Arial" w:cs="Arial"/>
          <w:b/>
          <w:u w:val="single"/>
        </w:rPr>
      </w:pPr>
      <w:r w:rsidRPr="0009300D">
        <w:rPr>
          <w:rFonts w:ascii="Arial" w:hAnsi="Arial" w:cs="Arial"/>
          <w:b/>
          <w:u w:val="single"/>
        </w:rPr>
        <w:t>REGRAS DE ALIMENTAÇÃO DO SICLI</w:t>
      </w:r>
    </w:p>
    <w:p w:rsidR="00A44C38" w:rsidRPr="00B15C14" w:rsidRDefault="00A44C38" w:rsidP="00A44C38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O Projeto Dossiê Digital será um facilitador na contratação de produtos e serviços e proporcionará à empresa vários benefícios: redução de custos operacionais; guarda e recuperação de documentos mais seguro e ágil; comodidade e conforto no atendimento; redução de custos com impressão, recuperação e arquivo; validação da autenticidade dos documentos, qualificando, dessa forma o cadastro de clientes, dentre outros.</w:t>
      </w:r>
    </w:p>
    <w:p w:rsidR="00A44C38" w:rsidRPr="00B15C14" w:rsidRDefault="00A44C38">
      <w:pPr>
        <w:rPr>
          <w:rFonts w:ascii="Arial" w:hAnsi="Arial" w:cs="Arial"/>
        </w:rPr>
      </w:pPr>
      <w:r w:rsidRPr="00B15C14">
        <w:rPr>
          <w:rFonts w:ascii="Arial" w:hAnsi="Arial" w:cs="Arial"/>
        </w:rPr>
        <w:t>No que tange à qualificação de cadastro, o Dossiê Digital atuará da seguinte forma:</w:t>
      </w:r>
    </w:p>
    <w:p w:rsidR="00A44C38" w:rsidRDefault="00A44C38">
      <w:r w:rsidRPr="00B15C14">
        <w:rPr>
          <w:rFonts w:ascii="Arial" w:hAnsi="Arial" w:cs="Arial"/>
        </w:rPr>
        <w:t>O atendente digitaliza os documentos necessários, os qu</w:t>
      </w:r>
      <w:r w:rsidR="00F368FF" w:rsidRPr="00B15C14">
        <w:rPr>
          <w:rFonts w:ascii="Arial" w:hAnsi="Arial" w:cs="Arial"/>
        </w:rPr>
        <w:t xml:space="preserve">ais serão classificados. O OCR extrai e guarda os </w:t>
      </w:r>
      <w:proofErr w:type="spellStart"/>
      <w:r w:rsidR="00F368FF" w:rsidRPr="00B15C14">
        <w:rPr>
          <w:rFonts w:ascii="Arial" w:hAnsi="Arial" w:cs="Arial"/>
        </w:rPr>
        <w:t>metadados</w:t>
      </w:r>
      <w:proofErr w:type="spellEnd"/>
      <w:r w:rsidR="00F368FF" w:rsidRPr="00B15C14">
        <w:rPr>
          <w:rFonts w:ascii="Arial" w:hAnsi="Arial" w:cs="Arial"/>
        </w:rPr>
        <w:t xml:space="preserve"> do documento. Após extração de dados, o documento será validado e passado pelo antifraude. Dessa forma, estão aptos a alimentar o SICLI.</w:t>
      </w:r>
      <w:r w:rsidR="00F368FF" w:rsidRPr="00B15C14">
        <w:rPr>
          <w:rFonts w:ascii="Arial" w:hAnsi="Arial" w:cs="Arial"/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6ED0CB6" wp14:editId="4F0D4808">
            <wp:extent cx="4086225" cy="21992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420" cy="22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8FF">
        <w:rPr>
          <w:noProof/>
          <w:lang w:eastAsia="pt-BR"/>
        </w:rPr>
        <w:drawing>
          <wp:inline distT="0" distB="0" distL="0" distR="0" wp14:anchorId="1C1D1B03" wp14:editId="23A1F2DF">
            <wp:extent cx="2838450" cy="25996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824" cy="2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38" w:rsidRPr="00B15C14" w:rsidRDefault="005867DF" w:rsidP="00B43E0D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lastRenderedPageBreak/>
        <w:t>O Produto escolhido para implantação do Dossiê Digital foi a abertura de conta corrente Pessoa Física. Assim, descreveremos abaixo como os campos do SICLI serão alimentados a partir dos documentos necess</w:t>
      </w:r>
      <w:r w:rsidR="00DC69AB">
        <w:rPr>
          <w:rFonts w:ascii="Arial" w:hAnsi="Arial" w:cs="Arial"/>
        </w:rPr>
        <w:t>ário</w:t>
      </w:r>
      <w:r w:rsidRPr="00B15C14">
        <w:rPr>
          <w:rFonts w:ascii="Arial" w:hAnsi="Arial" w:cs="Arial"/>
        </w:rPr>
        <w:t>s para essa fase do Projeto, quais sejam: Carteira de Identidade, Carteira Nacional de Habilitação, Comprovante de Renda e Comprovante de Residência.</w:t>
      </w:r>
    </w:p>
    <w:p w:rsidR="007F78EE" w:rsidRPr="00B15C14" w:rsidRDefault="007F78EE" w:rsidP="00B43E0D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Em anexo, estão as planilhas, para melhor visualização, bem como as tabelas do SICLI (encaminhadas pelo gestor)</w:t>
      </w:r>
      <w:r w:rsidR="0078689B" w:rsidRPr="00B15C14">
        <w:rPr>
          <w:rFonts w:ascii="Arial" w:hAnsi="Arial" w:cs="Arial"/>
        </w:rPr>
        <w:t>.</w:t>
      </w:r>
    </w:p>
    <w:p w:rsidR="0078689B" w:rsidRPr="00B15C14" w:rsidRDefault="0078689B" w:rsidP="00B43E0D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Ressaltamos que quando do batimento das informações da Tabela encaminhada pelo gestor com os campos do </w:t>
      </w:r>
      <w:proofErr w:type="spellStart"/>
      <w:r w:rsidRPr="00B15C14">
        <w:rPr>
          <w:rFonts w:ascii="Arial" w:hAnsi="Arial" w:cs="Arial"/>
        </w:rPr>
        <w:t>cadastro.caixa</w:t>
      </w:r>
      <w:proofErr w:type="spellEnd"/>
      <w:r w:rsidRPr="00B15C14">
        <w:rPr>
          <w:rFonts w:ascii="Arial" w:hAnsi="Arial" w:cs="Arial"/>
        </w:rPr>
        <w:t>, visualizamos divergências, as quais solicitamos análise dessa GESIR.</w:t>
      </w:r>
    </w:p>
    <w:p w:rsidR="005867DF" w:rsidRPr="00B15C14" w:rsidRDefault="005867DF">
      <w:pPr>
        <w:rPr>
          <w:rFonts w:ascii="Arial" w:hAnsi="Arial" w:cs="Arial"/>
        </w:rPr>
      </w:pPr>
    </w:p>
    <w:p w:rsidR="005867DF" w:rsidRPr="00B15C14" w:rsidRDefault="005867DF">
      <w:pPr>
        <w:rPr>
          <w:rFonts w:ascii="Arial" w:hAnsi="Arial" w:cs="Arial"/>
          <w:b/>
        </w:rPr>
      </w:pPr>
      <w:r w:rsidRPr="00B15C14">
        <w:rPr>
          <w:rFonts w:ascii="Arial" w:hAnsi="Arial" w:cs="Arial"/>
          <w:b/>
        </w:rPr>
        <w:t>1 -  CARTEIRA DE IDENTIDADE</w:t>
      </w:r>
    </w:p>
    <w:p w:rsidR="007F78EE" w:rsidRPr="00B15C14" w:rsidRDefault="007F78EE" w:rsidP="0078689B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Após análise dos documentos de identidade, elencamos os dados que serão extraídos pela ferramenta de OCR, que constam na coluna da esquerda das planilhas constantes do Anexo (planilhas </w:t>
      </w:r>
      <w:proofErr w:type="spellStart"/>
      <w:r w:rsidRPr="00B15C14">
        <w:rPr>
          <w:rFonts w:ascii="Arial" w:hAnsi="Arial" w:cs="Arial"/>
        </w:rPr>
        <w:t>excel</w:t>
      </w:r>
      <w:proofErr w:type="spellEnd"/>
      <w:r w:rsidRPr="00B15C14">
        <w:rPr>
          <w:rFonts w:ascii="Arial" w:hAnsi="Arial" w:cs="Arial"/>
        </w:rPr>
        <w:t>), bem como o código da informação de acordo com as tabelas encaminhadas pelo gestor, o nome da tabela e o campo da tabela a ser alimentado.</w:t>
      </w:r>
    </w:p>
    <w:p w:rsidR="007F78EE" w:rsidRPr="00B15C14" w:rsidRDefault="007F78EE" w:rsidP="0078689B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Os dados não extraídos d</w:t>
      </w:r>
      <w:r w:rsidR="005D5E08" w:rsidRPr="00B15C14">
        <w:rPr>
          <w:rFonts w:ascii="Arial" w:hAnsi="Arial" w:cs="Arial"/>
        </w:rPr>
        <w:t xml:space="preserve">everão ser alimentados </w:t>
      </w:r>
      <w:r w:rsidRPr="00B15C14">
        <w:rPr>
          <w:rFonts w:ascii="Arial" w:hAnsi="Arial" w:cs="Arial"/>
        </w:rPr>
        <w:t>conforme as regras de preenchimento do SICLI</w:t>
      </w:r>
      <w:r w:rsidR="00DC69AB">
        <w:rPr>
          <w:rFonts w:ascii="Arial" w:hAnsi="Arial" w:cs="Arial"/>
        </w:rPr>
        <w:t>.</w:t>
      </w:r>
    </w:p>
    <w:p w:rsidR="005867DF" w:rsidRDefault="007F78EE">
      <w:r w:rsidRPr="007F78EE">
        <w:rPr>
          <w:noProof/>
          <w:lang w:eastAsia="pt-BR"/>
        </w:rPr>
        <w:drawing>
          <wp:inline distT="0" distB="0" distL="0" distR="0">
            <wp:extent cx="6133465" cy="2505075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223" cy="25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EE" w:rsidRPr="00B15C14" w:rsidRDefault="007F78EE">
      <w:pPr>
        <w:rPr>
          <w:rFonts w:ascii="Arial" w:hAnsi="Arial" w:cs="Arial"/>
        </w:rPr>
      </w:pPr>
      <w:r w:rsidRPr="00B15C14">
        <w:rPr>
          <w:rFonts w:ascii="Arial" w:hAnsi="Arial" w:cs="Arial"/>
        </w:rPr>
        <w:t>As re</w:t>
      </w:r>
      <w:r w:rsidR="005D5E08" w:rsidRPr="00B15C14">
        <w:rPr>
          <w:rFonts w:ascii="Arial" w:hAnsi="Arial" w:cs="Arial"/>
        </w:rPr>
        <w:t xml:space="preserve">gras de preenchimento </w:t>
      </w:r>
      <w:r w:rsidRPr="00B15C14">
        <w:rPr>
          <w:rFonts w:ascii="Arial" w:hAnsi="Arial" w:cs="Arial"/>
        </w:rPr>
        <w:t xml:space="preserve">para os dados não extraídos da Carteira de Identidade e que constam na Tabela 16 enviada pelo gestor são: </w:t>
      </w:r>
    </w:p>
    <w:p w:rsidR="007F78EE" w:rsidRPr="00B15C14" w:rsidRDefault="0078689B" w:rsidP="0078689B">
      <w:pPr>
        <w:jc w:val="both"/>
        <w:rPr>
          <w:rFonts w:ascii="Arial" w:hAnsi="Arial" w:cs="Arial"/>
          <w:i/>
        </w:rPr>
      </w:pPr>
      <w:r w:rsidRPr="00B15C14">
        <w:rPr>
          <w:rFonts w:ascii="Arial" w:hAnsi="Arial" w:cs="Arial"/>
          <w:i/>
        </w:rPr>
        <w:t>“v.     Indicador de Documento de Identificação: Atributo alfanumérico com uma posição, de preenchimento obrigatório, que informa se o RGI ou RIC é o documento escolhido pelo cliente para ser usado em comprovações de autenticação em sistemas on-line da Caixa. Deverá ser informado: “S” Sim ou “N” - Não.</w:t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  <w:r w:rsidRPr="00B15C14">
        <w:rPr>
          <w:rFonts w:ascii="Arial" w:hAnsi="Arial" w:cs="Arial"/>
          <w:i/>
        </w:rPr>
        <w:tab/>
      </w:r>
    </w:p>
    <w:p w:rsidR="007F78EE" w:rsidRPr="00B15C14" w:rsidRDefault="0078689B" w:rsidP="0078689B">
      <w:pPr>
        <w:jc w:val="both"/>
        <w:rPr>
          <w:rFonts w:ascii="Arial" w:hAnsi="Arial" w:cs="Arial"/>
        </w:rPr>
      </w:pPr>
      <w:proofErr w:type="spellStart"/>
      <w:r w:rsidRPr="00B15C14">
        <w:rPr>
          <w:rFonts w:ascii="Arial" w:hAnsi="Arial" w:cs="Arial"/>
          <w:i/>
        </w:rPr>
        <w:t>vii</w:t>
      </w:r>
      <w:proofErr w:type="spellEnd"/>
      <w:r w:rsidRPr="00B15C14">
        <w:rPr>
          <w:rFonts w:ascii="Arial" w:hAnsi="Arial" w:cs="Arial"/>
          <w:i/>
        </w:rPr>
        <w:t>.   Tipo de Documento: Atributo numérico com três posições, de preenchimento obrigatório, que informa se o documento é uma Carteira de Identidade (008) ou o RIC - Registro de Identificação Civil (102), conforme o ANEXO-XXXVII.”</w:t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  <w:r w:rsidRPr="00B15C14">
        <w:rPr>
          <w:rFonts w:ascii="Arial" w:hAnsi="Arial" w:cs="Arial"/>
        </w:rPr>
        <w:tab/>
      </w:r>
    </w:p>
    <w:p w:rsidR="005D5E08" w:rsidRDefault="005D5E08"/>
    <w:p w:rsidR="005D5E08" w:rsidRDefault="005D5E08"/>
    <w:p w:rsidR="005D5E08" w:rsidRPr="00B15C14" w:rsidRDefault="009D4EC6">
      <w:pPr>
        <w:rPr>
          <w:rFonts w:ascii="Arial" w:hAnsi="Arial" w:cs="Arial"/>
          <w:b/>
        </w:rPr>
      </w:pPr>
      <w:r w:rsidRPr="00B15C14">
        <w:rPr>
          <w:rFonts w:ascii="Arial" w:hAnsi="Arial" w:cs="Arial"/>
          <w:b/>
        </w:rPr>
        <w:lastRenderedPageBreak/>
        <w:t>2 – CARTEIRA NACIONAL DE HABILITAÇÃO – CNH</w:t>
      </w:r>
    </w:p>
    <w:p w:rsidR="005D5E08" w:rsidRPr="00B15C14" w:rsidRDefault="005D5E08" w:rsidP="005D5E08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Após anál</w:t>
      </w:r>
      <w:r w:rsidR="0047404C" w:rsidRPr="00B15C14">
        <w:rPr>
          <w:rFonts w:ascii="Arial" w:hAnsi="Arial" w:cs="Arial"/>
        </w:rPr>
        <w:t>ise Da CNH</w:t>
      </w:r>
      <w:r w:rsidRPr="00B15C14">
        <w:rPr>
          <w:rFonts w:ascii="Arial" w:hAnsi="Arial" w:cs="Arial"/>
        </w:rPr>
        <w:t xml:space="preserve">, elencamos os dados que serão extraídos pela ferramenta de OCR, que constam na coluna da esquerda das planilhas constantes do Anexo (planilhas </w:t>
      </w:r>
      <w:proofErr w:type="spellStart"/>
      <w:r w:rsidRPr="00B15C14">
        <w:rPr>
          <w:rFonts w:ascii="Arial" w:hAnsi="Arial" w:cs="Arial"/>
        </w:rPr>
        <w:t>excel</w:t>
      </w:r>
      <w:proofErr w:type="spellEnd"/>
      <w:r w:rsidRPr="00B15C14">
        <w:rPr>
          <w:rFonts w:ascii="Arial" w:hAnsi="Arial" w:cs="Arial"/>
        </w:rPr>
        <w:t>), bem como o código da informação de acordo com as tabelas encaminhadas pelo gestor, o nome da tabela e o campo da tabela a ser alimentado.</w:t>
      </w:r>
    </w:p>
    <w:p w:rsidR="005D5E08" w:rsidRPr="00B15C14" w:rsidRDefault="005D5E08" w:rsidP="005D5E08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Os dados não extraídos deverão ser alimentados conforme as regras de preenchimento do SICLI</w:t>
      </w:r>
      <w:r w:rsidR="00DC69AB">
        <w:rPr>
          <w:rFonts w:ascii="Arial" w:hAnsi="Arial" w:cs="Arial"/>
        </w:rPr>
        <w:t>.</w:t>
      </w:r>
    </w:p>
    <w:p w:rsidR="005D5E08" w:rsidRDefault="005D5E08">
      <w:r w:rsidRPr="005D5E08">
        <w:rPr>
          <w:noProof/>
          <w:lang w:eastAsia="pt-BR"/>
        </w:rPr>
        <w:drawing>
          <wp:inline distT="0" distB="0" distL="0" distR="0">
            <wp:extent cx="6750685" cy="2473148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4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08" w:rsidRPr="00B15C14" w:rsidRDefault="005D5E08">
      <w:pPr>
        <w:rPr>
          <w:rFonts w:ascii="Arial" w:hAnsi="Arial" w:cs="Arial"/>
        </w:rPr>
      </w:pPr>
    </w:p>
    <w:p w:rsidR="000F75FF" w:rsidRPr="00B15C14" w:rsidRDefault="000F75FF" w:rsidP="00DC69AB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No caso específico da CNH, quando consultamos o </w:t>
      </w:r>
      <w:proofErr w:type="spellStart"/>
      <w:r w:rsidRPr="00B15C14">
        <w:rPr>
          <w:rFonts w:ascii="Arial" w:hAnsi="Arial" w:cs="Arial"/>
        </w:rPr>
        <w:t>cadastro.caixa</w:t>
      </w:r>
      <w:proofErr w:type="spellEnd"/>
      <w:r w:rsidRPr="00B15C14">
        <w:rPr>
          <w:rFonts w:ascii="Arial" w:hAnsi="Arial" w:cs="Arial"/>
        </w:rPr>
        <w:t xml:space="preserve"> não identificamos o campo para alimentação dos dados da Carteira de Identidade, porém em reunião com o gestor do produto optou-se por alimentar os campos, uma vez que a CNH traz esses dados e entendemos ser importantes para qualificação do cadastro do cliente.</w:t>
      </w:r>
    </w:p>
    <w:p w:rsidR="000F75FF" w:rsidRPr="00B15C14" w:rsidRDefault="000F75FF" w:rsidP="000F75FF">
      <w:pPr>
        <w:rPr>
          <w:rFonts w:ascii="Arial" w:hAnsi="Arial" w:cs="Arial"/>
        </w:rPr>
      </w:pPr>
      <w:r w:rsidRPr="00B15C14">
        <w:rPr>
          <w:rFonts w:ascii="Arial" w:hAnsi="Arial" w:cs="Arial"/>
        </w:rPr>
        <w:t>As regras de preenchimento para os dados nã</w:t>
      </w:r>
      <w:r w:rsidR="0047404C" w:rsidRPr="00B15C14">
        <w:rPr>
          <w:rFonts w:ascii="Arial" w:hAnsi="Arial" w:cs="Arial"/>
        </w:rPr>
        <w:t>o extraídos da CNH</w:t>
      </w:r>
      <w:r w:rsidR="006B46F1" w:rsidRPr="00B15C14">
        <w:rPr>
          <w:rFonts w:ascii="Arial" w:hAnsi="Arial" w:cs="Arial"/>
        </w:rPr>
        <w:t xml:space="preserve"> e que constam na Tabela 80</w:t>
      </w:r>
      <w:r w:rsidRPr="00B15C14">
        <w:rPr>
          <w:rFonts w:ascii="Arial" w:hAnsi="Arial" w:cs="Arial"/>
        </w:rPr>
        <w:t xml:space="preserve"> enviada pelo gestor são: </w:t>
      </w:r>
    </w:p>
    <w:p w:rsidR="006B46F1" w:rsidRPr="00B15C14" w:rsidRDefault="006B46F1" w:rsidP="006B46F1">
      <w:pPr>
        <w:jc w:val="both"/>
        <w:rPr>
          <w:rFonts w:ascii="Arial" w:hAnsi="Arial" w:cs="Arial"/>
          <w:i/>
        </w:rPr>
      </w:pPr>
      <w:r w:rsidRPr="00B15C14">
        <w:rPr>
          <w:rFonts w:ascii="Arial" w:hAnsi="Arial" w:cs="Arial"/>
          <w:i/>
        </w:rPr>
        <w:t>“</w:t>
      </w:r>
      <w:proofErr w:type="spellStart"/>
      <w:proofErr w:type="gramStart"/>
      <w:r w:rsidRPr="00B15C14">
        <w:rPr>
          <w:rFonts w:ascii="Arial" w:hAnsi="Arial" w:cs="Arial"/>
          <w:i/>
        </w:rPr>
        <w:t>vii</w:t>
      </w:r>
      <w:proofErr w:type="spellEnd"/>
      <w:proofErr w:type="gramEnd"/>
      <w:r w:rsidRPr="00B15C14">
        <w:rPr>
          <w:rFonts w:ascii="Arial" w:hAnsi="Arial" w:cs="Arial"/>
          <w:i/>
        </w:rPr>
        <w:t xml:space="preserve">.   </w:t>
      </w:r>
      <w:r w:rsidRPr="00DC69AB">
        <w:rPr>
          <w:rFonts w:ascii="Arial" w:hAnsi="Arial" w:cs="Arial"/>
          <w:bCs/>
          <w:i/>
        </w:rPr>
        <w:t>Indicador de Documento de Identificação</w:t>
      </w:r>
      <w:r w:rsidRPr="00B15C14">
        <w:rPr>
          <w:rFonts w:ascii="Arial" w:hAnsi="Arial" w:cs="Arial"/>
          <w:b/>
          <w:bCs/>
          <w:i/>
        </w:rPr>
        <w:t xml:space="preserve">: </w:t>
      </w:r>
      <w:r w:rsidRPr="00B15C14">
        <w:rPr>
          <w:rFonts w:ascii="Arial" w:hAnsi="Arial" w:cs="Arial"/>
          <w:i/>
        </w:rPr>
        <w:t>Atributo alfanumérico com uma posição, de preenchimento obrigatório, que informa se a CNH é o documento escolhido pelo cliente para ser usado em comprovações de autenticação em sistemas on-line da Caixa. Deverá ser informado: “</w:t>
      </w:r>
      <w:r w:rsidRPr="00B15C14">
        <w:rPr>
          <w:rFonts w:ascii="Arial" w:hAnsi="Arial" w:cs="Arial"/>
          <w:b/>
          <w:bCs/>
          <w:i/>
        </w:rPr>
        <w:t>S</w:t>
      </w:r>
      <w:r w:rsidRPr="00B15C14">
        <w:rPr>
          <w:rFonts w:ascii="Arial" w:hAnsi="Arial" w:cs="Arial"/>
          <w:i/>
        </w:rPr>
        <w:t>” - Sim ou “</w:t>
      </w:r>
      <w:r w:rsidRPr="00B15C14">
        <w:rPr>
          <w:rFonts w:ascii="Arial" w:hAnsi="Arial" w:cs="Arial"/>
          <w:b/>
          <w:bCs/>
          <w:i/>
        </w:rPr>
        <w:t>N</w:t>
      </w:r>
      <w:r w:rsidRPr="00B15C14">
        <w:rPr>
          <w:rFonts w:ascii="Arial" w:hAnsi="Arial" w:cs="Arial"/>
          <w:i/>
        </w:rPr>
        <w:t>” - Não.”</w:t>
      </w:r>
    </w:p>
    <w:p w:rsidR="000F75FF" w:rsidRDefault="000F75FF"/>
    <w:p w:rsidR="000772A1" w:rsidRDefault="000772A1"/>
    <w:p w:rsidR="000772A1" w:rsidRDefault="000772A1"/>
    <w:p w:rsidR="000772A1" w:rsidRDefault="000772A1"/>
    <w:p w:rsidR="000772A1" w:rsidRDefault="000772A1"/>
    <w:p w:rsidR="000772A1" w:rsidRDefault="000772A1"/>
    <w:p w:rsidR="000772A1" w:rsidRDefault="000772A1"/>
    <w:p w:rsidR="00E6248D" w:rsidRDefault="00E6248D"/>
    <w:p w:rsidR="000772A1" w:rsidRPr="00B15C14" w:rsidRDefault="000772A1">
      <w:pPr>
        <w:rPr>
          <w:rFonts w:ascii="Arial" w:hAnsi="Arial" w:cs="Arial"/>
          <w:b/>
        </w:rPr>
      </w:pPr>
      <w:r w:rsidRPr="00B15C14">
        <w:rPr>
          <w:rFonts w:ascii="Arial" w:hAnsi="Arial" w:cs="Arial"/>
          <w:b/>
        </w:rPr>
        <w:lastRenderedPageBreak/>
        <w:t>3 – COMPROVANTE DE RENDA</w:t>
      </w:r>
    </w:p>
    <w:p w:rsidR="0047404C" w:rsidRPr="00B15C14" w:rsidRDefault="0047404C" w:rsidP="0047404C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Após análise de alguns comprovantes de renda, elencamos alguns dados passíveis de extração e geralmente comuns a todos os comprovantes de renda.</w:t>
      </w:r>
      <w:r w:rsidR="00DC69AB">
        <w:rPr>
          <w:rFonts w:ascii="Arial" w:hAnsi="Arial" w:cs="Arial"/>
        </w:rPr>
        <w:t xml:space="preserve"> O</w:t>
      </w:r>
      <w:r w:rsidR="00DC69AB" w:rsidRPr="00B15C14">
        <w:rPr>
          <w:rFonts w:ascii="Arial" w:hAnsi="Arial" w:cs="Arial"/>
        </w:rPr>
        <w:t xml:space="preserve">s dados que serão extraídos </w:t>
      </w:r>
      <w:r w:rsidR="00DC69AB">
        <w:rPr>
          <w:rFonts w:ascii="Arial" w:hAnsi="Arial" w:cs="Arial"/>
        </w:rPr>
        <w:t>pela ferramenta de OCR</w:t>
      </w:r>
      <w:r w:rsidR="00DC69AB" w:rsidRPr="00B15C14">
        <w:rPr>
          <w:rFonts w:ascii="Arial" w:hAnsi="Arial" w:cs="Arial"/>
        </w:rPr>
        <w:t xml:space="preserve"> constam na coluna da esquerda das planilhas constantes do Anexo (planilhas </w:t>
      </w:r>
      <w:proofErr w:type="spellStart"/>
      <w:r w:rsidR="00DC69AB" w:rsidRPr="00B15C14">
        <w:rPr>
          <w:rFonts w:ascii="Arial" w:hAnsi="Arial" w:cs="Arial"/>
        </w:rPr>
        <w:t>excel</w:t>
      </w:r>
      <w:proofErr w:type="spellEnd"/>
      <w:r w:rsidR="00DC69AB" w:rsidRPr="00B15C14">
        <w:rPr>
          <w:rFonts w:ascii="Arial" w:hAnsi="Arial" w:cs="Arial"/>
        </w:rPr>
        <w:t>), bem como o código da informação de acordo com as tabelas encaminhadas pelo gestor, o nome da tabela e o campo da tabela a ser alimentado</w:t>
      </w:r>
      <w:r w:rsidR="00DC69AB">
        <w:rPr>
          <w:rFonts w:ascii="Arial" w:hAnsi="Arial" w:cs="Arial"/>
        </w:rPr>
        <w:t xml:space="preserve">. Para </w:t>
      </w:r>
      <w:r w:rsidRPr="00B15C14">
        <w:rPr>
          <w:rFonts w:ascii="Arial" w:hAnsi="Arial" w:cs="Arial"/>
        </w:rPr>
        <w:t>os dados não extraídos por algum motivo, elencamos as orientações quanto ao preenchimento do SICLI.</w:t>
      </w:r>
    </w:p>
    <w:p w:rsidR="000772A1" w:rsidRDefault="0047404C">
      <w:pPr>
        <w:rPr>
          <w:b/>
        </w:rPr>
      </w:pPr>
      <w:r w:rsidRPr="0047404C">
        <w:rPr>
          <w:noProof/>
          <w:lang w:eastAsia="pt-BR"/>
        </w:rPr>
        <w:drawing>
          <wp:inline distT="0" distB="0" distL="0" distR="0">
            <wp:extent cx="6750685" cy="2056751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0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4C" w:rsidRPr="00B15C14" w:rsidRDefault="0047404C" w:rsidP="0047404C">
      <w:pPr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As regras de preenchimento para os dados não extraídos do Comprovante de Renda e que constam na Tabela 84 enviada pelo gestor são: </w:t>
      </w:r>
    </w:p>
    <w:p w:rsidR="00DC69AB" w:rsidRDefault="0047404C">
      <w:pPr>
        <w:rPr>
          <w:rFonts w:ascii="Arial" w:hAnsi="Arial" w:cs="Arial"/>
          <w:i/>
        </w:rPr>
      </w:pPr>
      <w:r w:rsidRPr="00B15C14">
        <w:rPr>
          <w:rFonts w:ascii="Arial" w:hAnsi="Arial" w:cs="Arial"/>
          <w:i/>
        </w:rPr>
        <w:t>“</w:t>
      </w:r>
      <w:proofErr w:type="spellStart"/>
      <w:proofErr w:type="gramStart"/>
      <w:r w:rsidRPr="00B15C14">
        <w:rPr>
          <w:rFonts w:ascii="Arial" w:hAnsi="Arial" w:cs="Arial"/>
          <w:i/>
        </w:rPr>
        <w:t>iv</w:t>
      </w:r>
      <w:proofErr w:type="spellEnd"/>
      <w:proofErr w:type="gramEnd"/>
      <w:r w:rsidRPr="00B15C14">
        <w:rPr>
          <w:rFonts w:ascii="Arial" w:hAnsi="Arial" w:cs="Arial"/>
          <w:i/>
        </w:rPr>
        <w:t>. Tipo da Fonte Pagadora: Atributo alfanumérico com uma posição, de preenchimento opcional, que identifica o Tipo da Fonte Pagadora. Deve ser preenchido com “1” - CPF ou “2” - CNPJ.</w:t>
      </w:r>
    </w:p>
    <w:p w:rsidR="0047404C" w:rsidRPr="00B15C14" w:rsidRDefault="0047404C">
      <w:pPr>
        <w:rPr>
          <w:rFonts w:ascii="Arial" w:hAnsi="Arial" w:cs="Arial"/>
          <w:i/>
        </w:rPr>
      </w:pPr>
      <w:proofErr w:type="spellStart"/>
      <w:r w:rsidRPr="00B15C14">
        <w:rPr>
          <w:rFonts w:ascii="Arial" w:hAnsi="Arial" w:cs="Arial"/>
          <w:i/>
        </w:rPr>
        <w:t>xiii</w:t>
      </w:r>
      <w:proofErr w:type="spellEnd"/>
      <w:r w:rsidRPr="00B15C14">
        <w:rPr>
          <w:rFonts w:ascii="Arial" w:hAnsi="Arial" w:cs="Arial"/>
          <w:i/>
        </w:rPr>
        <w:t>. Ano Desligamento (emprego anterior): Atributo numérico com quatro posições, de preenchimento opcional, que informa o ano em que o Cliente foi desligado do emprego anterior.</w:t>
      </w:r>
      <w:r w:rsidRPr="00B15C14">
        <w:rPr>
          <w:rFonts w:ascii="Arial" w:hAnsi="Arial" w:cs="Arial"/>
          <w:i/>
        </w:rPr>
        <w:tab/>
      </w:r>
    </w:p>
    <w:p w:rsidR="0047404C" w:rsidRPr="00B15C14" w:rsidRDefault="0047404C">
      <w:pPr>
        <w:rPr>
          <w:rFonts w:ascii="Arial" w:hAnsi="Arial" w:cs="Arial"/>
          <w:i/>
        </w:rPr>
      </w:pPr>
      <w:proofErr w:type="spellStart"/>
      <w:r w:rsidRPr="00B15C14">
        <w:rPr>
          <w:rFonts w:ascii="Arial" w:hAnsi="Arial" w:cs="Arial"/>
          <w:i/>
        </w:rPr>
        <w:t>xvii</w:t>
      </w:r>
      <w:proofErr w:type="spellEnd"/>
      <w:r w:rsidRPr="00B15C14">
        <w:rPr>
          <w:rFonts w:ascii="Arial" w:hAnsi="Arial" w:cs="Arial"/>
          <w:i/>
        </w:rPr>
        <w:t xml:space="preserve">. Código Comprovante Comprobatório Renda Formal (SIRIC): Atributo numérico com </w:t>
      </w:r>
      <w:proofErr w:type="gramStart"/>
      <w:r w:rsidRPr="00B15C14">
        <w:rPr>
          <w:rFonts w:ascii="Arial" w:hAnsi="Arial" w:cs="Arial"/>
          <w:i/>
        </w:rPr>
        <w:t>doze  posições</w:t>
      </w:r>
      <w:proofErr w:type="gramEnd"/>
      <w:r w:rsidRPr="00B15C14">
        <w:rPr>
          <w:rFonts w:ascii="Arial" w:hAnsi="Arial" w:cs="Arial"/>
          <w:i/>
        </w:rPr>
        <w:t>, de preenchimento opcional que informa qual o comprovante da renda formal foi apresentado pelo cliente. Conforme ANEXO-XXXIX.</w:t>
      </w:r>
      <w:r w:rsidRPr="00B15C14">
        <w:rPr>
          <w:rFonts w:ascii="Arial" w:hAnsi="Arial" w:cs="Arial"/>
          <w:i/>
        </w:rPr>
        <w:tab/>
      </w:r>
    </w:p>
    <w:p w:rsidR="0047404C" w:rsidRPr="00B15C14" w:rsidRDefault="0047404C">
      <w:pPr>
        <w:rPr>
          <w:rFonts w:ascii="Arial" w:hAnsi="Arial" w:cs="Arial"/>
          <w:i/>
        </w:rPr>
      </w:pPr>
      <w:r w:rsidRPr="00B15C14">
        <w:rPr>
          <w:rFonts w:ascii="Arial" w:hAnsi="Arial" w:cs="Arial"/>
          <w:i/>
        </w:rPr>
        <w:t xml:space="preserve">i. Tipo de Renda: Atributo alfanumérico com uma posição, de preenchimento obrigatório, que identifica o Tipo de Renda do Cliente. Deve ser preenchido com “F” - </w:t>
      </w:r>
      <w:proofErr w:type="gramStart"/>
      <w:r w:rsidRPr="00B15C14">
        <w:rPr>
          <w:rFonts w:ascii="Arial" w:hAnsi="Arial" w:cs="Arial"/>
          <w:i/>
        </w:rPr>
        <w:t>Formal  ou</w:t>
      </w:r>
      <w:proofErr w:type="gramEnd"/>
      <w:r w:rsidRPr="00B15C14">
        <w:rPr>
          <w:rFonts w:ascii="Arial" w:hAnsi="Arial" w:cs="Arial"/>
          <w:i/>
        </w:rPr>
        <w:t xml:space="preserve"> “I” - Informal.</w:t>
      </w:r>
    </w:p>
    <w:p w:rsidR="0047404C" w:rsidRPr="00B15C14" w:rsidRDefault="0047404C">
      <w:pPr>
        <w:rPr>
          <w:rFonts w:ascii="Arial" w:hAnsi="Arial" w:cs="Arial"/>
          <w:i/>
        </w:rPr>
      </w:pPr>
      <w:proofErr w:type="spellStart"/>
      <w:r w:rsidRPr="00B15C14">
        <w:rPr>
          <w:rFonts w:ascii="Arial" w:hAnsi="Arial" w:cs="Arial"/>
          <w:i/>
        </w:rPr>
        <w:t>ii</w:t>
      </w:r>
      <w:proofErr w:type="spellEnd"/>
      <w:r w:rsidRPr="00B15C14">
        <w:rPr>
          <w:rFonts w:ascii="Arial" w:hAnsi="Arial" w:cs="Arial"/>
          <w:i/>
        </w:rPr>
        <w:t>. Característica da Renda: Atributo numérico com uma posição, de preenchimento obrigatório, que identifica a Característica da Renda. Deve ser informado: “1” - Desconhecida, “2” - Sem Renda, “3” - Declarada, “5” - Enriquecida ou “6” – Comprovada.</w:t>
      </w:r>
      <w:r w:rsidRPr="00B15C14">
        <w:rPr>
          <w:rFonts w:ascii="Arial" w:hAnsi="Arial" w:cs="Arial"/>
          <w:i/>
        </w:rPr>
        <w:tab/>
      </w:r>
    </w:p>
    <w:p w:rsidR="0047404C" w:rsidRPr="00B15C14" w:rsidRDefault="0047404C">
      <w:pPr>
        <w:rPr>
          <w:rFonts w:ascii="Arial" w:hAnsi="Arial" w:cs="Arial"/>
          <w:b/>
        </w:rPr>
      </w:pPr>
      <w:proofErr w:type="spellStart"/>
      <w:r w:rsidRPr="00B15C14">
        <w:rPr>
          <w:rFonts w:ascii="Arial" w:hAnsi="Arial" w:cs="Arial"/>
          <w:i/>
        </w:rPr>
        <w:t>xiv</w:t>
      </w:r>
      <w:proofErr w:type="spellEnd"/>
      <w:r w:rsidRPr="00B15C14">
        <w:rPr>
          <w:rFonts w:ascii="Arial" w:hAnsi="Arial" w:cs="Arial"/>
          <w:i/>
        </w:rPr>
        <w:t>. Data da Apuração: Atributo numérico com oito posições, de preenchimento obrigatório, que informa a data que o Cliente prestou as informações sobre a renda à Caixa.”</w:t>
      </w:r>
      <w:r w:rsidRPr="00B15C14">
        <w:rPr>
          <w:rFonts w:ascii="Arial" w:hAnsi="Arial" w:cs="Arial"/>
          <w:b/>
        </w:rPr>
        <w:tab/>
      </w:r>
      <w:r w:rsidRPr="00B15C14">
        <w:rPr>
          <w:rFonts w:ascii="Arial" w:hAnsi="Arial" w:cs="Arial"/>
          <w:b/>
        </w:rPr>
        <w:tab/>
      </w:r>
    </w:p>
    <w:p w:rsidR="0098244B" w:rsidRPr="00B15C14" w:rsidRDefault="0047404C">
      <w:pPr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Haja vista as peculiaridades do Comprovante de Renda, </w:t>
      </w:r>
      <w:r w:rsidR="0098244B" w:rsidRPr="00B15C14">
        <w:rPr>
          <w:rFonts w:ascii="Arial" w:hAnsi="Arial" w:cs="Arial"/>
        </w:rPr>
        <w:t xml:space="preserve">seguem algumas observações: </w:t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6750685" cy="164651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6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04C" w:rsidRPr="0047404C">
        <w:rPr>
          <w:b/>
        </w:rPr>
        <w:tab/>
      </w:r>
      <w:r w:rsidRPr="0098244B">
        <w:rPr>
          <w:noProof/>
          <w:lang w:eastAsia="pt-BR"/>
        </w:rPr>
        <w:drawing>
          <wp:inline distT="0" distB="0" distL="0" distR="0">
            <wp:extent cx="6750685" cy="17123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7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6750685" cy="13830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lastRenderedPageBreak/>
        <w:drawing>
          <wp:inline distT="0" distB="0" distL="0" distR="0">
            <wp:extent cx="6750685" cy="131721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6750685" cy="164651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6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6750685" cy="12513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6750685" cy="144893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66" w:rsidRDefault="0098244B">
      <w:pPr>
        <w:rPr>
          <w:b/>
        </w:rPr>
      </w:pPr>
      <w:r w:rsidRPr="0098244B">
        <w:rPr>
          <w:noProof/>
          <w:lang w:eastAsia="pt-BR"/>
        </w:rPr>
        <w:drawing>
          <wp:inline distT="0" distB="0" distL="0" distR="0">
            <wp:extent cx="3419475" cy="3048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04C" w:rsidRPr="0047404C">
        <w:rPr>
          <w:b/>
        </w:rPr>
        <w:tab/>
      </w:r>
      <w:r w:rsidR="0047404C" w:rsidRPr="0047404C">
        <w:rPr>
          <w:b/>
        </w:rPr>
        <w:tab/>
      </w: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710B66" w:rsidRDefault="00710B66">
      <w:pPr>
        <w:rPr>
          <w:b/>
        </w:rPr>
      </w:pPr>
    </w:p>
    <w:p w:rsidR="00C3677E" w:rsidRDefault="00C3677E">
      <w:pPr>
        <w:rPr>
          <w:rFonts w:ascii="Arial" w:hAnsi="Arial" w:cs="Arial"/>
          <w:b/>
        </w:rPr>
      </w:pPr>
    </w:p>
    <w:p w:rsidR="00E6248D" w:rsidRDefault="00E6248D">
      <w:pPr>
        <w:rPr>
          <w:rFonts w:ascii="Arial" w:hAnsi="Arial" w:cs="Arial"/>
          <w:b/>
        </w:rPr>
      </w:pPr>
    </w:p>
    <w:p w:rsidR="00E6248D" w:rsidRDefault="00E6248D">
      <w:pPr>
        <w:rPr>
          <w:rFonts w:ascii="Arial" w:hAnsi="Arial" w:cs="Arial"/>
          <w:b/>
        </w:rPr>
      </w:pPr>
    </w:p>
    <w:p w:rsidR="00710B66" w:rsidRPr="00B15C14" w:rsidRDefault="00710B66">
      <w:pPr>
        <w:rPr>
          <w:rFonts w:ascii="Arial" w:hAnsi="Arial" w:cs="Arial"/>
          <w:b/>
        </w:rPr>
      </w:pPr>
      <w:r w:rsidRPr="00B15C14">
        <w:rPr>
          <w:rFonts w:ascii="Arial" w:hAnsi="Arial" w:cs="Arial"/>
          <w:b/>
        </w:rPr>
        <w:lastRenderedPageBreak/>
        <w:t>4 – COMPROVANTE DE RESIDÊNCIA</w:t>
      </w:r>
    </w:p>
    <w:p w:rsidR="00DC69AB" w:rsidRPr="00B15C14" w:rsidRDefault="00B27E63" w:rsidP="00DC69AB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Após análise</w:t>
      </w:r>
      <w:r w:rsidR="00FB5FEB" w:rsidRPr="00B15C14">
        <w:rPr>
          <w:rFonts w:ascii="Arial" w:hAnsi="Arial" w:cs="Arial"/>
        </w:rPr>
        <w:t xml:space="preserve"> de alguns comprovantes de residência</w:t>
      </w:r>
      <w:r w:rsidRPr="00B15C14">
        <w:rPr>
          <w:rFonts w:ascii="Arial" w:hAnsi="Arial" w:cs="Arial"/>
        </w:rPr>
        <w:t xml:space="preserve">, elencamos alguns dados passíveis de extração e geralmente comuns </w:t>
      </w:r>
      <w:r w:rsidR="00FB5FEB" w:rsidRPr="00B15C14">
        <w:rPr>
          <w:rFonts w:ascii="Arial" w:hAnsi="Arial" w:cs="Arial"/>
        </w:rPr>
        <w:t>a todos os comprovantes</w:t>
      </w:r>
      <w:r w:rsidRPr="00B15C14">
        <w:rPr>
          <w:rFonts w:ascii="Arial" w:hAnsi="Arial" w:cs="Arial"/>
        </w:rPr>
        <w:t xml:space="preserve">. </w:t>
      </w:r>
      <w:r w:rsidR="00DC69AB">
        <w:rPr>
          <w:rFonts w:ascii="Arial" w:hAnsi="Arial" w:cs="Arial"/>
        </w:rPr>
        <w:t>O</w:t>
      </w:r>
      <w:r w:rsidR="00DC69AB" w:rsidRPr="00B15C14">
        <w:rPr>
          <w:rFonts w:ascii="Arial" w:hAnsi="Arial" w:cs="Arial"/>
        </w:rPr>
        <w:t xml:space="preserve">s dados que serão extraídos </w:t>
      </w:r>
      <w:r w:rsidR="00DC69AB">
        <w:rPr>
          <w:rFonts w:ascii="Arial" w:hAnsi="Arial" w:cs="Arial"/>
        </w:rPr>
        <w:t>pela ferramenta de OCR</w:t>
      </w:r>
      <w:r w:rsidR="00DC69AB" w:rsidRPr="00B15C14">
        <w:rPr>
          <w:rFonts w:ascii="Arial" w:hAnsi="Arial" w:cs="Arial"/>
        </w:rPr>
        <w:t xml:space="preserve"> constam na coluna da esquerda das planilhas constantes do Anexo (planilhas </w:t>
      </w:r>
      <w:proofErr w:type="spellStart"/>
      <w:r w:rsidR="00DC69AB" w:rsidRPr="00B15C14">
        <w:rPr>
          <w:rFonts w:ascii="Arial" w:hAnsi="Arial" w:cs="Arial"/>
        </w:rPr>
        <w:t>excel</w:t>
      </w:r>
      <w:proofErr w:type="spellEnd"/>
      <w:r w:rsidR="00DC69AB" w:rsidRPr="00B15C14">
        <w:rPr>
          <w:rFonts w:ascii="Arial" w:hAnsi="Arial" w:cs="Arial"/>
        </w:rPr>
        <w:t>), bem como o código da informação de acordo com as tabelas encaminhadas pelo gestor, o nome da tabela e o campo da tabela a ser alimentado</w:t>
      </w:r>
      <w:r w:rsidR="00DC69AB">
        <w:rPr>
          <w:rFonts w:ascii="Arial" w:hAnsi="Arial" w:cs="Arial"/>
        </w:rPr>
        <w:t>.</w:t>
      </w:r>
    </w:p>
    <w:p w:rsidR="00B27E63" w:rsidRPr="00B15C14" w:rsidRDefault="00B27E63" w:rsidP="00B27E63">
      <w:pPr>
        <w:jc w:val="both"/>
        <w:rPr>
          <w:rFonts w:ascii="Arial" w:hAnsi="Arial" w:cs="Arial"/>
        </w:rPr>
      </w:pPr>
      <w:r w:rsidRPr="00B15C14">
        <w:rPr>
          <w:rFonts w:ascii="Arial" w:hAnsi="Arial" w:cs="Arial"/>
        </w:rPr>
        <w:t>Sendo que para os dados não extraídos por algum motivo, elencamos as orientações quanto ao preenchimento do SICLI.</w:t>
      </w:r>
    </w:p>
    <w:p w:rsidR="00FB5FEB" w:rsidRDefault="00B55543">
      <w:pPr>
        <w:rPr>
          <w:b/>
        </w:rPr>
      </w:pPr>
      <w:r w:rsidRPr="00B55543">
        <w:drawing>
          <wp:inline distT="0" distB="0" distL="0" distR="0">
            <wp:extent cx="6750050" cy="16465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64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941" w:rsidRPr="00B15C14" w:rsidRDefault="00FB5FEB" w:rsidP="00FB5FEB">
      <w:pPr>
        <w:rPr>
          <w:rFonts w:ascii="Arial" w:hAnsi="Arial" w:cs="Arial"/>
          <w:i/>
        </w:rPr>
      </w:pPr>
      <w:r w:rsidRPr="00B15C14">
        <w:rPr>
          <w:rFonts w:ascii="Arial" w:hAnsi="Arial" w:cs="Arial"/>
        </w:rPr>
        <w:t>As regras de preenchimento para os dados não e</w:t>
      </w:r>
      <w:r w:rsidR="008C4AF4" w:rsidRPr="00B15C14">
        <w:rPr>
          <w:rFonts w:ascii="Arial" w:hAnsi="Arial" w:cs="Arial"/>
        </w:rPr>
        <w:t>xtraídos do Comprovante de Residência e que constam na Tabela 26</w:t>
      </w:r>
      <w:r w:rsidRPr="00B15C14">
        <w:rPr>
          <w:rFonts w:ascii="Arial" w:hAnsi="Arial" w:cs="Arial"/>
        </w:rPr>
        <w:t xml:space="preserve"> enviada pelo gestor são: </w:t>
      </w:r>
      <w:r w:rsidR="007D0941" w:rsidRPr="00B15C14">
        <w:rPr>
          <w:rFonts w:ascii="Arial" w:hAnsi="Arial" w:cs="Arial"/>
          <w:i/>
        </w:rPr>
        <w:fldChar w:fldCharType="begin"/>
      </w:r>
      <w:r w:rsidR="007D0941" w:rsidRPr="00B15C14">
        <w:rPr>
          <w:rFonts w:ascii="Arial" w:hAnsi="Arial" w:cs="Arial"/>
          <w:i/>
        </w:rPr>
        <w:instrText xml:space="preserve"> LINK </w:instrText>
      </w:r>
      <w:r w:rsidR="00B55543">
        <w:rPr>
          <w:rFonts w:ascii="Arial" w:hAnsi="Arial" w:cs="Arial"/>
          <w:i/>
        </w:rPr>
        <w:instrText xml:space="preserve">Excel.Sheet.12 "\\\\cd5401sr202\\geban\\GT_Dossie_Digital\\SICLI\\Cópia de IPS_Interface_Padrão_SICLI_V11_03_00.xlsx" "Table 26!L37C1:L37C22" </w:instrText>
      </w:r>
      <w:r w:rsidR="007D0941" w:rsidRPr="00B15C14">
        <w:rPr>
          <w:rFonts w:ascii="Arial" w:hAnsi="Arial" w:cs="Arial"/>
          <w:i/>
        </w:rPr>
        <w:instrText xml:space="preserve">\a \f 4 \h  \* MERGEFORMAT </w:instrText>
      </w:r>
      <w:r w:rsidR="007D0941" w:rsidRPr="00B15C14">
        <w:rPr>
          <w:rFonts w:ascii="Arial" w:hAnsi="Arial" w:cs="Arial"/>
          <w:i/>
        </w:rPr>
        <w:fldChar w:fldCharType="separate"/>
      </w:r>
    </w:p>
    <w:p w:rsidR="007D0941" w:rsidRPr="00B15C14" w:rsidRDefault="007D0941" w:rsidP="007D0941">
      <w:pPr>
        <w:spacing w:after="0" w:line="240" w:lineRule="auto"/>
        <w:rPr>
          <w:rFonts w:ascii="Arial" w:eastAsia="Times New Roman" w:hAnsi="Arial" w:cs="Arial"/>
          <w:i/>
          <w:color w:val="000000"/>
          <w:lang w:eastAsia="pt-BR"/>
        </w:rPr>
      </w:pPr>
      <w:r w:rsidRPr="00B15C14">
        <w:rPr>
          <w:rFonts w:ascii="Arial" w:eastAsia="Times New Roman" w:hAnsi="Arial" w:cs="Arial"/>
          <w:i/>
          <w:lang w:eastAsia="pt-BR"/>
        </w:rPr>
        <w:t>"</w:t>
      </w:r>
      <w:proofErr w:type="spellStart"/>
      <w:r w:rsidRPr="007D0941">
        <w:rPr>
          <w:rFonts w:ascii="Arial" w:eastAsia="Times New Roman" w:hAnsi="Arial" w:cs="Arial"/>
          <w:i/>
          <w:lang w:eastAsia="pt-BR"/>
        </w:rPr>
        <w:t>viii</w:t>
      </w:r>
      <w:proofErr w:type="spellEnd"/>
      <w:r w:rsidRPr="007D0941">
        <w:rPr>
          <w:rFonts w:ascii="Arial" w:eastAsia="Times New Roman" w:hAnsi="Arial" w:cs="Arial"/>
          <w:i/>
          <w:lang w:eastAsia="pt-BR"/>
        </w:rPr>
        <w:t xml:space="preserve">.  </w:t>
      </w:r>
      <w:r w:rsidRPr="007D0941">
        <w:rPr>
          <w:rFonts w:ascii="Arial" w:eastAsia="Times New Roman" w:hAnsi="Arial" w:cs="Arial"/>
          <w:b/>
          <w:bCs/>
          <w:i/>
          <w:lang w:eastAsia="pt-BR"/>
        </w:rPr>
        <w:t xml:space="preserve">Código da Localidade: </w:t>
      </w:r>
      <w:r w:rsidRPr="007D0941">
        <w:rPr>
          <w:rFonts w:ascii="Arial" w:eastAsia="Times New Roman" w:hAnsi="Arial" w:cs="Arial"/>
          <w:i/>
          <w:lang w:eastAsia="pt-BR"/>
        </w:rPr>
        <w:t>Atributo numérico com sete posições, de preenchimento opcional, porém, será obrigatoriamente informado quando o atributo Nome da Localidade não for informado e deverá existir na tabela de municípios do IBGE replicada pelo SIICO.</w:t>
      </w:r>
      <w:r w:rsidRPr="00B15C14">
        <w:rPr>
          <w:rFonts w:ascii="Arial" w:eastAsia="Times New Roman" w:hAnsi="Arial" w:cs="Arial"/>
          <w:i/>
          <w:lang w:eastAsia="pt-BR"/>
        </w:rPr>
        <w:t>"</w:t>
      </w:r>
    </w:p>
    <w:p w:rsidR="008C4AF4" w:rsidRPr="00B15C14" w:rsidRDefault="007D0941" w:rsidP="007D0941">
      <w:pPr>
        <w:rPr>
          <w:rFonts w:ascii="Arial" w:hAnsi="Arial" w:cs="Arial"/>
        </w:rPr>
      </w:pPr>
      <w:r w:rsidRPr="00B15C14">
        <w:rPr>
          <w:rFonts w:ascii="Arial" w:hAnsi="Arial" w:cs="Arial"/>
          <w:i/>
        </w:rPr>
        <w:fldChar w:fldCharType="end"/>
      </w:r>
    </w:p>
    <w:p w:rsidR="007D0941" w:rsidRPr="00B15C14" w:rsidRDefault="007D0941" w:rsidP="007D0941">
      <w:pPr>
        <w:rPr>
          <w:rFonts w:ascii="Arial" w:hAnsi="Arial" w:cs="Arial"/>
        </w:rPr>
      </w:pPr>
      <w:r w:rsidRPr="00B15C14">
        <w:rPr>
          <w:rFonts w:ascii="Arial" w:hAnsi="Arial" w:cs="Arial"/>
        </w:rPr>
        <w:t xml:space="preserve">Haja vista as peculiaridades do Comprovante de Residência, seguem algumas observações: </w:t>
      </w:r>
    </w:p>
    <w:p w:rsidR="007D0941" w:rsidRDefault="007D0941" w:rsidP="007D0941">
      <w:r w:rsidRPr="007D0941">
        <w:rPr>
          <w:noProof/>
          <w:lang w:eastAsia="pt-BR"/>
        </w:rPr>
        <w:drawing>
          <wp:inline distT="0" distB="0" distL="0" distR="0">
            <wp:extent cx="6750685" cy="13830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1" w:rsidRDefault="007D0941" w:rsidP="007D0941">
      <w:r w:rsidRPr="007D0941">
        <w:rPr>
          <w:noProof/>
          <w:lang w:eastAsia="pt-BR"/>
        </w:rPr>
        <w:drawing>
          <wp:inline distT="0" distB="0" distL="0" distR="0">
            <wp:extent cx="6750685" cy="1383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1" w:rsidRDefault="007D0941" w:rsidP="007D0941">
      <w:r w:rsidRPr="007D0941">
        <w:rPr>
          <w:noProof/>
          <w:lang w:eastAsia="pt-BR"/>
        </w:rPr>
        <w:drawing>
          <wp:inline distT="0" distB="0" distL="0" distR="0">
            <wp:extent cx="6750685" cy="13830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1" w:rsidRDefault="007D0941" w:rsidP="007D0941">
      <w:r w:rsidRPr="007D0941">
        <w:rPr>
          <w:noProof/>
          <w:lang w:eastAsia="pt-BR"/>
        </w:rPr>
        <w:drawing>
          <wp:inline distT="0" distB="0" distL="0" distR="0">
            <wp:extent cx="6750685" cy="1383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3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1" w:rsidRPr="0098244B" w:rsidRDefault="007D0941" w:rsidP="007D0941"/>
    <w:p w:rsidR="007D0941" w:rsidRPr="007D0941" w:rsidRDefault="007D0941" w:rsidP="007D0941"/>
    <w:p w:rsidR="007D0941" w:rsidRPr="007D0941" w:rsidRDefault="007D0941" w:rsidP="007D0941"/>
    <w:p w:rsidR="007D0941" w:rsidRPr="007D0941" w:rsidRDefault="007D0941" w:rsidP="007D0941"/>
    <w:p w:rsidR="00FB5FEB" w:rsidRDefault="00FB5FEB">
      <w:pPr>
        <w:rPr>
          <w:b/>
        </w:rPr>
      </w:pPr>
    </w:p>
    <w:p w:rsidR="00FB5FEB" w:rsidRDefault="0047404C">
      <w:pPr>
        <w:rPr>
          <w:b/>
        </w:rPr>
      </w:pPr>
      <w:r w:rsidRPr="0047404C">
        <w:rPr>
          <w:b/>
        </w:rPr>
        <w:tab/>
      </w:r>
    </w:p>
    <w:p w:rsidR="0047404C" w:rsidRPr="000772A1" w:rsidRDefault="0047404C">
      <w:pPr>
        <w:rPr>
          <w:b/>
        </w:rPr>
      </w:pPr>
      <w:r w:rsidRPr="0047404C">
        <w:rPr>
          <w:b/>
        </w:rPr>
        <w:tab/>
      </w:r>
      <w:r w:rsidRPr="0047404C">
        <w:rPr>
          <w:b/>
        </w:rPr>
        <w:tab/>
      </w:r>
    </w:p>
    <w:sectPr w:rsidR="0047404C" w:rsidRPr="000772A1" w:rsidSect="005F157B">
      <w:headerReference w:type="default" r:id="rId24"/>
      <w:footerReference w:type="default" r:id="rId25"/>
      <w:pgSz w:w="11906" w:h="16838"/>
      <w:pgMar w:top="1418" w:right="425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71" w:rsidRDefault="00FB4071" w:rsidP="005F157B">
      <w:pPr>
        <w:spacing w:after="0" w:line="240" w:lineRule="auto"/>
      </w:pPr>
      <w:r>
        <w:separator/>
      </w:r>
    </w:p>
  </w:endnote>
  <w:endnote w:type="continuationSeparator" w:id="0">
    <w:p w:rsidR="00FB4071" w:rsidRDefault="00FB4071" w:rsidP="005F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57B" w:rsidRDefault="005F157B" w:rsidP="00A1614A">
    <w:pPr>
      <w:pStyle w:val="Rodap"/>
      <w:jc w:val="right"/>
    </w:pPr>
    <w:r>
      <w:tab/>
    </w:r>
    <w:r w:rsidR="00E248E4">
      <w:t xml:space="preserve">     </w:t>
    </w:r>
    <w:r w:rsidR="00E248E4">
      <w:tab/>
      <w:t xml:space="preserve"> </w:t>
    </w:r>
    <w:r>
      <w:t>Brasília, 12 de janeiro de 2018</w:t>
    </w:r>
  </w:p>
  <w:p w:rsidR="005F157B" w:rsidRDefault="005F15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71" w:rsidRDefault="00FB4071" w:rsidP="005F157B">
      <w:pPr>
        <w:spacing w:after="0" w:line="240" w:lineRule="auto"/>
      </w:pPr>
      <w:r>
        <w:separator/>
      </w:r>
    </w:p>
  </w:footnote>
  <w:footnote w:type="continuationSeparator" w:id="0">
    <w:p w:rsidR="00FB4071" w:rsidRDefault="00FB4071" w:rsidP="005F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57B" w:rsidRDefault="005F157B">
    <w:pPr>
      <w:pStyle w:val="Cabealho"/>
    </w:pPr>
    <w:r>
      <w:rPr>
        <w:noProof/>
        <w:lang w:eastAsia="pt-BR"/>
      </w:rPr>
      <w:drawing>
        <wp:inline distT="0" distB="0" distL="0" distR="0" wp14:anchorId="7410BBF8" wp14:editId="41081B9E">
          <wp:extent cx="1000125" cy="885825"/>
          <wp:effectExtent l="0" t="0" r="9525" b="9525"/>
          <wp:docPr id="4" name="Imagem 4" descr="cid:image002.png@01D33936.5E52FA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2.png@01D33936.5E52FA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5A31A975" wp14:editId="3E3ED189">
          <wp:extent cx="1206499" cy="365759"/>
          <wp:effectExtent l="0" t="0" r="0" b="0"/>
          <wp:docPr id="21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image2.jpeg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499" cy="365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5F157B" w:rsidRDefault="005F1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38"/>
    <w:rsid w:val="000772A1"/>
    <w:rsid w:val="0009300D"/>
    <w:rsid w:val="000F75FF"/>
    <w:rsid w:val="00222018"/>
    <w:rsid w:val="0047404C"/>
    <w:rsid w:val="004F6C3A"/>
    <w:rsid w:val="005867DF"/>
    <w:rsid w:val="005D5E08"/>
    <w:rsid w:val="005F157B"/>
    <w:rsid w:val="00622F09"/>
    <w:rsid w:val="006266A7"/>
    <w:rsid w:val="006B46F1"/>
    <w:rsid w:val="00710B66"/>
    <w:rsid w:val="00711F85"/>
    <w:rsid w:val="0078689B"/>
    <w:rsid w:val="007D0941"/>
    <w:rsid w:val="007F78EE"/>
    <w:rsid w:val="008C4AF4"/>
    <w:rsid w:val="0098244B"/>
    <w:rsid w:val="009D4EC6"/>
    <w:rsid w:val="00A1614A"/>
    <w:rsid w:val="00A44C38"/>
    <w:rsid w:val="00AF0BB1"/>
    <w:rsid w:val="00B15C14"/>
    <w:rsid w:val="00B27E63"/>
    <w:rsid w:val="00B43E0D"/>
    <w:rsid w:val="00B55543"/>
    <w:rsid w:val="00BA5EBA"/>
    <w:rsid w:val="00BF3E15"/>
    <w:rsid w:val="00C3677E"/>
    <w:rsid w:val="00CE424D"/>
    <w:rsid w:val="00DC69AB"/>
    <w:rsid w:val="00E248E4"/>
    <w:rsid w:val="00E6248D"/>
    <w:rsid w:val="00EC7BF8"/>
    <w:rsid w:val="00F368FF"/>
    <w:rsid w:val="00FB4071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A624054-36F5-475D-A813-D86B208D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E0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F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57B"/>
  </w:style>
  <w:style w:type="paragraph" w:styleId="Rodap">
    <w:name w:val="footer"/>
    <w:basedOn w:val="Normal"/>
    <w:link w:val="RodapChar"/>
    <w:uiPriority w:val="99"/>
    <w:unhideWhenUsed/>
    <w:rsid w:val="005F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cid:image002.png@01D33936.5E52FAB0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Econômica Federal</Company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 Silva Genaro Toffanello</dc:creator>
  <cp:keywords/>
  <dc:description/>
  <cp:lastModifiedBy>Naya Silva Genaro Toffanello</cp:lastModifiedBy>
  <cp:revision>2</cp:revision>
  <cp:lastPrinted>2018-01-12T12:36:00Z</cp:lastPrinted>
  <dcterms:created xsi:type="dcterms:W3CDTF">2018-02-23T18:34:00Z</dcterms:created>
  <dcterms:modified xsi:type="dcterms:W3CDTF">2018-02-23T18:34:00Z</dcterms:modified>
</cp:coreProperties>
</file>