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589B7">
      <w:pPr>
        <w:pStyle w:val="6"/>
        <w:jc w:val="center"/>
      </w:pPr>
      <w:r>
        <w:t>Revisões das Landing Pages</w:t>
      </w:r>
      <w:r>
        <w:br w:type="textWrapping"/>
      </w:r>
      <w:r>
        <w:t>Ê-Bot Clinical e Ê-Bot Painel</w:t>
      </w:r>
    </w:p>
    <w:p w14:paraId="0C75AC44">
      <w:pPr>
        <w:jc w:val="center"/>
      </w:pPr>
      <w:r>
        <w:rPr>
          <w:i/>
          <w:sz w:val="22"/>
        </w:rPr>
        <w:t>Documento organizado para execução das alterações de conteúdo, UX e posicionamento.</w:t>
      </w:r>
    </w:p>
    <w:p w14:paraId="4EA6895E">
      <w:pPr>
        <w:pStyle w:val="2"/>
      </w:pPr>
      <w:r>
        <w:t>1. Diretrizes gerais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7"/>
        <w:gridCol w:w="2809"/>
        <w:gridCol w:w="2986"/>
      </w:tblGrid>
      <w:tr w14:paraId="2E57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0E715D2B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53D0164B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64E42C3B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4B40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F63F768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Marca / Meta</w:t>
            </w:r>
          </w:p>
        </w:tc>
        <w:tc>
          <w:tcPr>
            <w:tcW w:w="3456" w:type="dxa"/>
            <w:vAlign w:val="center"/>
          </w:tcPr>
          <w:p w14:paraId="1DC8B69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 “TechProvider Meta” em todas as páginas e aplicar o selo correspondente.</w:t>
            </w:r>
          </w:p>
        </w:tc>
        <w:tc>
          <w:tcPr>
            <w:tcW w:w="3456" w:type="dxa"/>
            <w:vAlign w:val="center"/>
          </w:tcPr>
          <w:p w14:paraId="5259B8F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Manter a nomenclatura consistente nas LPs.</w:t>
            </w:r>
          </w:p>
        </w:tc>
      </w:tr>
      <w:tr w14:paraId="62F2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B75DCA5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Rodapé</w:t>
            </w:r>
          </w:p>
        </w:tc>
        <w:tc>
          <w:tcPr>
            <w:tcW w:w="3456" w:type="dxa"/>
            <w:vAlign w:val="center"/>
          </w:tcPr>
          <w:p w14:paraId="00228AC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certificações e atestados de conformidade ISO.</w:t>
            </w:r>
          </w:p>
        </w:tc>
        <w:tc>
          <w:tcPr>
            <w:tcW w:w="3456" w:type="dxa"/>
            <w:vAlign w:val="center"/>
          </w:tcPr>
          <w:p w14:paraId="6B46D8F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Validar previamente quais certificações/atestados podem ser exibidos.</w:t>
            </w:r>
          </w:p>
        </w:tc>
      </w:tr>
      <w:tr w14:paraId="6D28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623D813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Tecnologia</w:t>
            </w:r>
          </w:p>
        </w:tc>
        <w:tc>
          <w:tcPr>
            <w:tcW w:w="3456" w:type="dxa"/>
            <w:vAlign w:val="center"/>
          </w:tcPr>
          <w:p w14:paraId="00D0DF4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Destacar tecnologia própria.</w:t>
            </w:r>
          </w:p>
        </w:tc>
        <w:tc>
          <w:tcPr>
            <w:tcW w:w="3456" w:type="dxa"/>
            <w:vAlign w:val="center"/>
          </w:tcPr>
          <w:p w14:paraId="7070C93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Inserir como elemento de confiança/institucional.</w:t>
            </w:r>
          </w:p>
        </w:tc>
      </w:tr>
      <w:tr w14:paraId="0F54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04F7F7C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Institucional</w:t>
            </w:r>
          </w:p>
        </w:tc>
        <w:tc>
          <w:tcPr>
            <w:tcW w:w="3456" w:type="dxa"/>
            <w:vAlign w:val="center"/>
          </w:tcPr>
          <w:p w14:paraId="18E8223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seção “Quem somos”.</w:t>
            </w:r>
          </w:p>
        </w:tc>
        <w:tc>
          <w:tcPr>
            <w:tcW w:w="3456" w:type="dxa"/>
            <w:vAlign w:val="center"/>
          </w:tcPr>
          <w:p w14:paraId="2681BBE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Aplicar nas LPs onde ainda não existir.</w:t>
            </w:r>
          </w:p>
        </w:tc>
      </w:tr>
      <w:tr w14:paraId="71041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1DFF6D6B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Canais</w:t>
            </w:r>
          </w:p>
        </w:tc>
        <w:tc>
          <w:tcPr>
            <w:tcW w:w="3456" w:type="dxa"/>
            <w:vAlign w:val="center"/>
          </w:tcPr>
          <w:p w14:paraId="1AFE4886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 o termo “Omnichannel”.</w:t>
            </w:r>
          </w:p>
        </w:tc>
        <w:tc>
          <w:tcPr>
            <w:tcW w:w="3456" w:type="dxa"/>
            <w:vAlign w:val="center"/>
          </w:tcPr>
          <w:p w14:paraId="33C086D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Padronizar a nomenclatura nas páginas.</w:t>
            </w:r>
          </w:p>
        </w:tc>
      </w:tr>
      <w:tr w14:paraId="61337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F995E3E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Cookies</w:t>
            </w:r>
          </w:p>
        </w:tc>
        <w:tc>
          <w:tcPr>
            <w:tcW w:w="3456" w:type="dxa"/>
            <w:vAlign w:val="center"/>
          </w:tcPr>
          <w:p w14:paraId="31BDB7E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aceite de cookies na página.</w:t>
            </w:r>
          </w:p>
        </w:tc>
        <w:tc>
          <w:tcPr>
            <w:tcW w:w="3456" w:type="dxa"/>
            <w:vAlign w:val="center"/>
          </w:tcPr>
          <w:p w14:paraId="1D6AD23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Implementar banner/componente de consentimento.</w:t>
            </w:r>
          </w:p>
        </w:tc>
      </w:tr>
      <w:tr w14:paraId="794F5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422ECB5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Loading</w:t>
            </w:r>
          </w:p>
        </w:tc>
        <w:tc>
          <w:tcPr>
            <w:tcW w:w="3456" w:type="dxa"/>
            <w:vAlign w:val="center"/>
          </w:tcPr>
          <w:p w14:paraId="46AABE0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“Carregando experiência Ê-Sistemas” em todas as LPs.</w:t>
            </w:r>
          </w:p>
        </w:tc>
        <w:tc>
          <w:tcPr>
            <w:tcW w:w="3456" w:type="dxa"/>
            <w:vAlign w:val="center"/>
          </w:tcPr>
          <w:p w14:paraId="2E970DD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Padronizar a experiência de carregamento.</w:t>
            </w:r>
          </w:p>
        </w:tc>
      </w:tr>
    </w:tbl>
    <w:p w14:paraId="2E6693EF">
      <w:pPr>
        <w:pStyle w:val="2"/>
      </w:pPr>
      <w:r>
        <w:br w:type="textWrapping"/>
      </w:r>
      <w:r>
        <w:t>3. Ê-Bot Painel</w:t>
      </w:r>
    </w:p>
    <w:p w14:paraId="25A3A754">
      <w:r>
        <w:t>Objetivo: posicionar o Ê-Bot como plataforma de atendimento e CRM omnichannel para empresas, com foco em varejo, indústrias, imobiliárias e operações de atendimento.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2983"/>
        <w:gridCol w:w="2731"/>
      </w:tblGrid>
      <w:tr w14:paraId="54C5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2BD6CFEA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21566E57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1A4A6BC7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2D46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998772F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Escopo do produto</w:t>
            </w:r>
          </w:p>
        </w:tc>
        <w:tc>
          <w:tcPr>
            <w:tcW w:w="3456" w:type="dxa"/>
            <w:vAlign w:val="center"/>
          </w:tcPr>
          <w:p w14:paraId="7B8A2CA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Não mencionar agendamento no Ê-Bot Painel.</w:t>
            </w:r>
          </w:p>
        </w:tc>
        <w:tc>
          <w:tcPr>
            <w:tcW w:w="3456" w:type="dxa"/>
            <w:vAlign w:val="center"/>
          </w:tcPr>
          <w:p w14:paraId="09CDE78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Agendamento é recurso do Clinical.</w:t>
            </w:r>
          </w:p>
        </w:tc>
      </w:tr>
      <w:tr w14:paraId="03D9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2B38C71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Posicionamento CRM</w:t>
            </w:r>
          </w:p>
        </w:tc>
        <w:tc>
          <w:tcPr>
            <w:tcW w:w="3456" w:type="dxa"/>
            <w:vAlign w:val="center"/>
          </w:tcPr>
          <w:p w14:paraId="6D5982BD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Corrigir a mensagem “integra ao seu ERP ou CRM”.</w:t>
            </w:r>
          </w:p>
        </w:tc>
        <w:tc>
          <w:tcPr>
            <w:tcW w:w="3456" w:type="dxa"/>
            <w:vAlign w:val="center"/>
          </w:tcPr>
          <w:p w14:paraId="198AD04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 Ê-Bot é o CRM; não deve parecer apenas um complemento de outro CRM.</w:t>
            </w:r>
          </w:p>
        </w:tc>
      </w:tr>
      <w:tr w14:paraId="07DB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C56C37D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API</w:t>
            </w:r>
          </w:p>
        </w:tc>
        <w:tc>
          <w:tcPr>
            <w:tcW w:w="3456" w:type="dxa"/>
            <w:vAlign w:val="center"/>
          </w:tcPr>
          <w:p w14:paraId="0C134DC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Rever o card “1 API”.</w:t>
            </w:r>
          </w:p>
        </w:tc>
        <w:tc>
          <w:tcPr>
            <w:tcW w:w="3456" w:type="dxa"/>
            <w:vAlign w:val="center"/>
          </w:tcPr>
          <w:p w14:paraId="691B593B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 nomenclatura atual soa estranha e deve ser substituída por uma proposta de valor mais clara.</w:t>
            </w:r>
          </w:p>
        </w:tc>
      </w:tr>
      <w:tr w14:paraId="4863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67EF871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Público-alvo</w:t>
            </w:r>
          </w:p>
        </w:tc>
        <w:tc>
          <w:tcPr>
            <w:tcW w:w="3456" w:type="dxa"/>
            <w:vAlign w:val="center"/>
          </w:tcPr>
          <w:p w14:paraId="7BCFBB5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Melhorar a chamada principal.</w:t>
            </w:r>
          </w:p>
        </w:tc>
        <w:tc>
          <w:tcPr>
            <w:tcW w:w="3456" w:type="dxa"/>
            <w:vAlign w:val="center"/>
          </w:tcPr>
          <w:p w14:paraId="086A7987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Citar varejo, indústrias e imobiliárias.</w:t>
            </w:r>
          </w:p>
        </w:tc>
      </w:tr>
      <w:tr w14:paraId="4C6C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97F843E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Protocolos</w:t>
            </w:r>
          </w:p>
        </w:tc>
        <w:tc>
          <w:tcPr>
            <w:tcW w:w="3456" w:type="dxa"/>
            <w:vAlign w:val="center"/>
          </w:tcPr>
          <w:p w14:paraId="694BC54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Adicionar/revisar menção a protocolos.</w:t>
            </w:r>
          </w:p>
        </w:tc>
        <w:tc>
          <w:tcPr>
            <w:tcW w:w="3456" w:type="dxa"/>
            <w:vAlign w:val="center"/>
          </w:tcPr>
          <w:p w14:paraId="25F33A8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 w14:paraId="0666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D87DCCC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Conteúdo</w:t>
            </w:r>
          </w:p>
        </w:tc>
        <w:tc>
          <w:tcPr>
            <w:tcW w:w="3456" w:type="dxa"/>
            <w:vAlign w:val="center"/>
          </w:tcPr>
          <w:p w14:paraId="662E0B1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Remover os trechos marcados/selecionados no layout atual.</w:t>
            </w:r>
          </w:p>
        </w:tc>
        <w:tc>
          <w:tcPr>
            <w:tcW w:w="3456" w:type="dxa"/>
            <w:vAlign w:val="center"/>
          </w:tcPr>
          <w:p w14:paraId="3C94EF9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Conforme anotações do documento original.</w:t>
            </w:r>
          </w:p>
        </w:tc>
      </w:tr>
    </w:tbl>
    <w:p w14:paraId="06F52A40"/>
    <w:p w14:paraId="365A2006">
      <w:pPr>
        <w:pStyle w:val="3"/>
      </w:pPr>
      <w:r>
        <w:t>3.1 CRM, automação e IA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2822"/>
        <w:gridCol w:w="2837"/>
      </w:tblGrid>
      <w:tr w14:paraId="2947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5541EE09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374A5A81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1BAB8330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0BF53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290193C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Painel</w:t>
            </w:r>
          </w:p>
        </w:tc>
        <w:tc>
          <w:tcPr>
            <w:tcW w:w="3456" w:type="dxa"/>
            <w:vAlign w:val="center"/>
          </w:tcPr>
          <w:p w14:paraId="066AF19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Remover “tema claro/escuro”.</w:t>
            </w:r>
          </w:p>
        </w:tc>
        <w:tc>
          <w:tcPr>
            <w:tcW w:w="3456" w:type="dxa"/>
            <w:vAlign w:val="center"/>
          </w:tcPr>
          <w:p w14:paraId="3330CAA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Não usar esse item como benefício.</w:t>
            </w:r>
          </w:p>
        </w:tc>
      </w:tr>
      <w:tr w14:paraId="2ECAB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DD60B3B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CRM</w:t>
            </w:r>
          </w:p>
        </w:tc>
        <w:tc>
          <w:tcPr>
            <w:tcW w:w="3456" w:type="dxa"/>
            <w:vAlign w:val="center"/>
          </w:tcPr>
          <w:p w14:paraId="03D2D03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Criar um bloco exclusivo para CRM.</w:t>
            </w:r>
          </w:p>
        </w:tc>
        <w:tc>
          <w:tcPr>
            <w:tcW w:w="3456" w:type="dxa"/>
            <w:vAlign w:val="center"/>
          </w:tcPr>
          <w:p w14:paraId="61F4B58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Destacar que o Ê-Bot é o CRM da operação.</w:t>
            </w:r>
          </w:p>
        </w:tc>
      </w:tr>
      <w:tr w14:paraId="33CD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203546E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Automação comercial</w:t>
            </w:r>
          </w:p>
        </w:tc>
        <w:tc>
          <w:tcPr>
            <w:tcW w:w="3456" w:type="dxa"/>
            <w:vAlign w:val="center"/>
          </w:tcPr>
          <w:p w14:paraId="055FE39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Falar sobre cadência e funil de automação.</w:t>
            </w:r>
          </w:p>
        </w:tc>
        <w:tc>
          <w:tcPr>
            <w:tcW w:w="3456" w:type="dxa"/>
            <w:vAlign w:val="center"/>
          </w:tcPr>
          <w:p w14:paraId="7D6B8CA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Relacionar acompanhamento, etapas e follow-up.</w:t>
            </w:r>
          </w:p>
        </w:tc>
      </w:tr>
      <w:tr w14:paraId="0F79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C9E4204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IA contextual</w:t>
            </w:r>
          </w:p>
        </w:tc>
        <w:tc>
          <w:tcPr>
            <w:tcW w:w="3456" w:type="dxa"/>
            <w:vAlign w:val="center"/>
          </w:tcPr>
          <w:p w14:paraId="3BBBF10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Substituir o card de tema/aparência.</w:t>
            </w:r>
          </w:p>
        </w:tc>
        <w:tc>
          <w:tcPr>
            <w:tcW w:w="3456" w:type="dxa"/>
            <w:vAlign w:val="center"/>
          </w:tcPr>
          <w:p w14:paraId="74B1053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Usar: “Resumo de conversas e sugestão de respostas baseadas no contexto”.</w:t>
            </w:r>
          </w:p>
        </w:tc>
      </w:tr>
      <w:tr w14:paraId="4380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805F5F2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Base de conhecimento</w:t>
            </w:r>
          </w:p>
        </w:tc>
        <w:tc>
          <w:tcPr>
            <w:tcW w:w="3456" w:type="dxa"/>
            <w:vAlign w:val="center"/>
          </w:tcPr>
          <w:p w14:paraId="10CEBE4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bloco sobre base de conhecimento.</w:t>
            </w:r>
          </w:p>
        </w:tc>
        <w:tc>
          <w:tcPr>
            <w:tcW w:w="3456" w:type="dxa"/>
            <w:vAlign w:val="center"/>
          </w:tcPr>
          <w:p w14:paraId="2C47413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 w14:paraId="3C1E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FF92178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Acompanhamento</w:t>
            </w:r>
          </w:p>
        </w:tc>
        <w:tc>
          <w:tcPr>
            <w:tcW w:w="3456" w:type="dxa"/>
            <w:vAlign w:val="center"/>
          </w:tcPr>
          <w:p w14:paraId="0F1B309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Destacar acompanhamento em tempo real.</w:t>
            </w:r>
          </w:p>
        </w:tc>
        <w:tc>
          <w:tcPr>
            <w:tcW w:w="3456" w:type="dxa"/>
            <w:vAlign w:val="center"/>
          </w:tcPr>
          <w:p w14:paraId="002BA10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</w:tbl>
    <w:p w14:paraId="70B53BE4"/>
    <w:p w14:paraId="573F5BC0">
      <w:pPr>
        <w:pStyle w:val="3"/>
      </w:pPr>
      <w:r>
        <w:t>3.2 Comunicação e telefonia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3244"/>
        <w:gridCol w:w="2657"/>
      </w:tblGrid>
      <w:tr w14:paraId="3AB8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4091879D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3D60EC6A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508D70F1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7F63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8AFB8E6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WhatsApp</w:t>
            </w:r>
          </w:p>
        </w:tc>
        <w:tc>
          <w:tcPr>
            <w:tcW w:w="3456" w:type="dxa"/>
            <w:vAlign w:val="center"/>
          </w:tcPr>
          <w:p w14:paraId="7199B9F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Falar sobre ligações no WhatsApp.</w:t>
            </w:r>
          </w:p>
        </w:tc>
        <w:tc>
          <w:tcPr>
            <w:tcW w:w="3456" w:type="dxa"/>
            <w:vAlign w:val="center"/>
          </w:tcPr>
          <w:p w14:paraId="00A1ACC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 w14:paraId="0178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65D9859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Telefonia</w:t>
            </w:r>
          </w:p>
        </w:tc>
        <w:tc>
          <w:tcPr>
            <w:tcW w:w="3456" w:type="dxa"/>
            <w:vAlign w:val="center"/>
          </w:tcPr>
          <w:p w14:paraId="21A5F3A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Falar sobre PABX para ligações telefônicas.</w:t>
            </w:r>
          </w:p>
        </w:tc>
        <w:tc>
          <w:tcPr>
            <w:tcW w:w="3456" w:type="dxa"/>
            <w:vAlign w:val="center"/>
          </w:tcPr>
          <w:p w14:paraId="6682E34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 w14:paraId="4211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3D9568D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Meet</w:t>
            </w:r>
          </w:p>
        </w:tc>
        <w:tc>
          <w:tcPr>
            <w:tcW w:w="3456" w:type="dxa"/>
            <w:vAlign w:val="center"/>
          </w:tcPr>
          <w:p w14:paraId="1DF8734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Adicionar recurso de agendamento/compartilhamento de reunião.</w:t>
            </w:r>
          </w:p>
        </w:tc>
        <w:tc>
          <w:tcPr>
            <w:tcW w:w="3456" w:type="dxa"/>
            <w:vAlign w:val="center"/>
          </w:tcPr>
          <w:p w14:paraId="4D847C2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“Agende sua reunião no Meet e compartilhe com seu lead no WhatsApp.”</w:t>
            </w:r>
          </w:p>
        </w:tc>
      </w:tr>
    </w:tbl>
    <w:p w14:paraId="76728F37"/>
    <w:p w14:paraId="3A370C13">
      <w:pPr>
        <w:pStyle w:val="3"/>
      </w:pPr>
      <w:r>
        <w:t>3.3 Experiência, casos de uso e prova social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2887"/>
        <w:gridCol w:w="2785"/>
      </w:tblGrid>
      <w:tr w14:paraId="7F990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4C9D0AD1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38FB8FBF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6A440172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67ED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0250F43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Demonstração</w:t>
            </w:r>
          </w:p>
        </w:tc>
        <w:tc>
          <w:tcPr>
            <w:tcW w:w="3456" w:type="dxa"/>
            <w:vAlign w:val="center"/>
          </w:tcPr>
          <w:p w14:paraId="148D8EB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Mudar chamada da área interativa.</w:t>
            </w:r>
          </w:p>
        </w:tc>
        <w:tc>
          <w:tcPr>
            <w:tcW w:w="3456" w:type="dxa"/>
            <w:vAlign w:val="center"/>
          </w:tcPr>
          <w:p w14:paraId="2165517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Usar: “Conheça nossa experiência.”</w:t>
            </w:r>
          </w:p>
        </w:tc>
      </w:tr>
      <w:tr w14:paraId="246F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F460E29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Casos de uso</w:t>
            </w:r>
          </w:p>
        </w:tc>
        <w:tc>
          <w:tcPr>
            <w:tcW w:w="3456" w:type="dxa"/>
            <w:vAlign w:val="center"/>
          </w:tcPr>
          <w:p w14:paraId="2C8C750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Substituir referência a clínicas/agendas.</w:t>
            </w:r>
          </w:p>
        </w:tc>
        <w:tc>
          <w:tcPr>
            <w:tcW w:w="3456" w:type="dxa"/>
            <w:vAlign w:val="center"/>
          </w:tcPr>
          <w:p w14:paraId="5834B32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 exemplos de varejo e indústrias.</w:t>
            </w:r>
          </w:p>
        </w:tc>
      </w:tr>
      <w:tr w14:paraId="002D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F1EBB31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Etapas</w:t>
            </w:r>
          </w:p>
        </w:tc>
        <w:tc>
          <w:tcPr>
            <w:tcW w:w="3456" w:type="dxa"/>
            <w:vAlign w:val="center"/>
          </w:tcPr>
          <w:p w14:paraId="304E29C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Trocar “Dia 1 / Dia 2 / Dia 3+ / Contínuo” por etapas.</w:t>
            </w:r>
          </w:p>
        </w:tc>
        <w:tc>
          <w:tcPr>
            <w:tcW w:w="3456" w:type="dxa"/>
            <w:vAlign w:val="center"/>
          </w:tcPr>
          <w:p w14:paraId="5570FC2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Deixar o processo menos preso a uma cronologia fixa.</w:t>
            </w:r>
          </w:p>
        </w:tc>
      </w:tr>
      <w:tr w14:paraId="4371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6CEB307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Validação</w:t>
            </w:r>
          </w:p>
        </w:tc>
        <w:tc>
          <w:tcPr>
            <w:tcW w:w="3456" w:type="dxa"/>
            <w:vAlign w:val="center"/>
          </w:tcPr>
          <w:p w14:paraId="7E8470E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Ajustar texto sobre validação.</w:t>
            </w:r>
          </w:p>
        </w:tc>
        <w:tc>
          <w:tcPr>
            <w:tcW w:w="3456" w:type="dxa"/>
            <w:vAlign w:val="center"/>
          </w:tcPr>
          <w:p w14:paraId="0104E0EF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Usar: “Validamos o seu fluxo”.</w:t>
            </w:r>
          </w:p>
        </w:tc>
      </w:tr>
      <w:tr w14:paraId="7BB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31DB2FC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Carrossel</w:t>
            </w:r>
          </w:p>
        </w:tc>
        <w:tc>
          <w:tcPr>
            <w:tcW w:w="3456" w:type="dxa"/>
            <w:vAlign w:val="center"/>
          </w:tcPr>
          <w:p w14:paraId="53490C60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Corrigir carrossel quebrado.</w:t>
            </w:r>
          </w:p>
        </w:tc>
        <w:tc>
          <w:tcPr>
            <w:tcW w:w="3456" w:type="dxa"/>
            <w:vAlign w:val="center"/>
          </w:tcPr>
          <w:p w14:paraId="6D867F5C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  <w:tr w14:paraId="557A8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AA829FA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Prova social</w:t>
            </w:r>
          </w:p>
        </w:tc>
        <w:tc>
          <w:tcPr>
            <w:tcW w:w="3456" w:type="dxa"/>
            <w:vAlign w:val="center"/>
          </w:tcPr>
          <w:p w14:paraId="746DE23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Trocar “Operações” por “Parceiros e clientes”.</w:t>
            </w:r>
          </w:p>
        </w:tc>
        <w:tc>
          <w:tcPr>
            <w:tcW w:w="3456" w:type="dxa"/>
            <w:vAlign w:val="center"/>
          </w:tcPr>
          <w:p w14:paraId="2253E545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</w:tr>
    </w:tbl>
    <w:p w14:paraId="690BC2C4"/>
    <w:p w14:paraId="2EF39193">
      <w:pPr>
        <w:pStyle w:val="2"/>
      </w:pPr>
      <w:r>
        <w:t>4. Correções de layout e UX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5"/>
        <w:gridCol w:w="2851"/>
        <w:gridCol w:w="2786"/>
      </w:tblGrid>
      <w:tr w14:paraId="4282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E486E"/>
            <w:vAlign w:val="center"/>
          </w:tcPr>
          <w:p w14:paraId="3CB9B757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Área / Bloco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6C9E2493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Ajuste solicitado</w:t>
            </w:r>
          </w:p>
        </w:tc>
        <w:tc>
          <w:tcPr>
            <w:tcW w:w="3456" w:type="dxa"/>
            <w:shd w:val="clear" w:color="auto" w:fill="0E486E"/>
            <w:vAlign w:val="center"/>
          </w:tcPr>
          <w:p w14:paraId="3C17FE4A"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Observação / Texto sugerido</w:t>
            </w:r>
          </w:p>
        </w:tc>
      </w:tr>
      <w:tr w14:paraId="7BA3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767C0CA7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Navegação</w:t>
            </w:r>
          </w:p>
        </w:tc>
        <w:tc>
          <w:tcPr>
            <w:tcW w:w="3456" w:type="dxa"/>
            <w:vAlign w:val="center"/>
          </w:tcPr>
          <w:p w14:paraId="3E43D053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Corrigir design da demonstração quebrando a navbar.</w:t>
            </w:r>
          </w:p>
        </w:tc>
        <w:tc>
          <w:tcPr>
            <w:tcW w:w="3456" w:type="dxa"/>
            <w:vAlign w:val="center"/>
          </w:tcPr>
          <w:p w14:paraId="13EB19A9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Testar desktop e mobile.</w:t>
            </w:r>
          </w:p>
        </w:tc>
      </w:tr>
      <w:tr w14:paraId="0BB8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488AF40C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Carrosséis</w:t>
            </w:r>
          </w:p>
        </w:tc>
        <w:tc>
          <w:tcPr>
            <w:tcW w:w="3456" w:type="dxa"/>
            <w:vAlign w:val="center"/>
          </w:tcPr>
          <w:p w14:paraId="7DEF415E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Corrigir ordem e funcionamento dos carrosséis.</w:t>
            </w:r>
          </w:p>
        </w:tc>
        <w:tc>
          <w:tcPr>
            <w:tcW w:w="3456" w:type="dxa"/>
            <w:vAlign w:val="center"/>
          </w:tcPr>
          <w:p w14:paraId="60A86FA2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Há registro de carrossel iniciando pelo fim e outro quebrado.</w:t>
            </w:r>
          </w:p>
        </w:tc>
      </w:tr>
      <w:tr w14:paraId="3B57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0523F9E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Canvas</w:t>
            </w:r>
          </w:p>
        </w:tc>
        <w:tc>
          <w:tcPr>
            <w:tcW w:w="3456" w:type="dxa"/>
            <w:vAlign w:val="center"/>
          </w:tcPr>
          <w:p w14:paraId="64D77654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Exibir apenas o canvas em blocos específicos.</w:t>
            </w:r>
          </w:p>
        </w:tc>
        <w:tc>
          <w:tcPr>
            <w:tcW w:w="3456" w:type="dxa"/>
            <w:vAlign w:val="center"/>
          </w:tcPr>
          <w:p w14:paraId="2562E488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Ocultar menus de opções quando a intenção for apenas demonstrar o fluxo.</w:t>
            </w:r>
          </w:p>
        </w:tc>
      </w:tr>
      <w:tr w14:paraId="3D09B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25C09B68">
            <w:pPr>
              <w:spacing w:after="0" w:line="240" w:lineRule="auto"/>
            </w:pPr>
            <w:r>
              <w:rPr>
                <w:rFonts w:ascii="Aptos" w:hAnsi="Aptos"/>
                <w:b/>
                <w:color w:val="0E486E"/>
                <w:sz w:val="18"/>
              </w:rPr>
              <w:t>Responsividade</w:t>
            </w:r>
          </w:p>
        </w:tc>
        <w:tc>
          <w:tcPr>
            <w:tcW w:w="3456" w:type="dxa"/>
            <w:vAlign w:val="center"/>
          </w:tcPr>
          <w:p w14:paraId="29710B91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Revisar os blocos após as trocas de conteúdo.</w:t>
            </w:r>
          </w:p>
        </w:tc>
        <w:tc>
          <w:tcPr>
            <w:tcW w:w="3456" w:type="dxa"/>
            <w:vAlign w:val="center"/>
          </w:tcPr>
          <w:p w14:paraId="7940533A"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Garantir que novas chamadas não quebrem cards e navegação.</w:t>
            </w:r>
          </w:p>
        </w:tc>
      </w:tr>
    </w:tbl>
    <w:p w14:paraId="484FF5EF"/>
    <w:p w14:paraId="0A3475B0">
      <w:pPr>
        <w:pStyle w:val="2"/>
      </w:pPr>
      <w:r>
        <w:t>5. Checklist de execução</w:t>
      </w:r>
    </w:p>
    <w:p w14:paraId="365FC1BE">
      <w:pPr>
        <w:pStyle w:val="8"/>
      </w:pPr>
      <w:r>
        <w:t>Padronizar terminologia entre Clinical e Painel.</w:t>
      </w:r>
    </w:p>
    <w:p w14:paraId="78BCAFB4">
      <w:pPr>
        <w:pStyle w:val="8"/>
      </w:pPr>
      <w:r>
        <w:t>Aplicar “Unidades públicas de saúde” em todo o Clinical onde hoje aparece “Clínicas públicas”.</w:t>
      </w:r>
    </w:p>
    <w:p w14:paraId="3FC6FB4C">
      <w:pPr>
        <w:pStyle w:val="8"/>
      </w:pPr>
      <w:r>
        <w:t>Criar/ajustar os novos blocos de CRM, transcrição de consulta, fila inteligente, base de conhecimento e telefonia.</w:t>
      </w:r>
    </w:p>
    <w:p w14:paraId="5EF000F0">
      <w:pPr>
        <w:pStyle w:val="8"/>
      </w:pPr>
      <w:r>
        <w:t>Revisar integrações e exemplos já existentes: MV, RANG, FEEGOW e IDS.</w:t>
      </w:r>
    </w:p>
    <w:p w14:paraId="45ED4835">
      <w:pPr>
        <w:pStyle w:val="8"/>
      </w:pPr>
      <w:r>
        <w:t>Remover ou substituir qualquer menção a logs de auditoria.</w:t>
      </w:r>
    </w:p>
    <w:p w14:paraId="6C7D88CB">
      <w:pPr>
        <w:pStyle w:val="8"/>
      </w:pPr>
      <w:r>
        <w:t>Corrigir carrosséis, navbar da demonstração e elementos de animação.</w:t>
      </w:r>
    </w:p>
    <w:p w14:paraId="147406BB">
      <w:pPr>
        <w:pStyle w:val="8"/>
      </w:pPr>
      <w:r>
        <w:t>Adicionar selo TechProvider Meta, cookies, certificações/atestados válidos e seção “Quem somos”.</w:t>
      </w:r>
    </w:p>
    <w:p w14:paraId="56665DEA">
      <w:pPr>
        <w:pStyle w:val="8"/>
      </w:pPr>
      <w:r>
        <w:t>Adicionar loading “Carregando experiência Ê-Sistemas” em todas as LPs.</w:t>
      </w:r>
    </w:p>
    <w:p w14:paraId="64AA400C">
      <w:pPr>
        <w:pStyle w:val="8"/>
      </w:pPr>
      <w:r>
        <w:t>Revisar os textos finais antes da publicação para manter o posicionamento correto de cada produto.</w:t>
      </w:r>
    </w:p>
    <w:p w14:paraId="60100956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br w:type="textWrapping"/>
      </w:r>
      <w:r>
        <w:br w:type="textWrapping"/>
      </w:r>
      <w:r>
        <w:rPr>
          <w:rFonts w:hint="default"/>
          <w:lang w:val="pt-BR"/>
        </w:rPr>
        <w:t>Agora, vou passar as i</w:t>
      </w:r>
      <w:r>
        <w:rPr>
          <w:rFonts w:hint="default" w:ascii="Aptos" w:hAnsi="Aptos" w:eastAsia="SimSun" w:cs="Times New Roman"/>
          <w:sz w:val="24"/>
          <w:szCs w:val="24"/>
        </w:rPr>
        <w:t xml:space="preserve">nstruções mais cruas que </w:t>
      </w:r>
      <w:r>
        <w:rPr>
          <w:rFonts w:hint="default" w:eastAsia="SimSun" w:cs="Times New Roman"/>
          <w:sz w:val="24"/>
          <w:szCs w:val="24"/>
          <w:lang w:val="pt-BR"/>
        </w:rPr>
        <w:t>pediram para fazer</w:t>
      </w:r>
      <w:r>
        <w:rPr>
          <w:rFonts w:hint="default" w:ascii="Aptos" w:hAnsi="Aptos" w:eastAsia="SimSun" w:cs="Times New Roman"/>
          <w:sz w:val="24"/>
          <w:szCs w:val="24"/>
        </w:rPr>
        <w:t>, analise se tem alguma alteração a acrescentar alem das que foram passadas anterioremente e aplique as que estiverem faltando:</w:t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ptos" w:hAnsi="Aptos" w:eastAsia="SimSun" w:cs="Times New Roman"/>
          <w:sz w:val="24"/>
          <w:szCs w:val="24"/>
        </w:rPr>
        <w:br w:type="textWrapping"/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EBOT PAINEL</w:t>
      </w:r>
    </w:p>
    <w:p w14:paraId="031B1DF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3429000"/>
            <wp:effectExtent l="0" t="0" r="11430" b="0"/>
            <wp:docPr id="3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não fazemos agendamento no ebot painel só no clinical</w:t>
      </w:r>
    </w:p>
    <w:p w14:paraId="7AFA60F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5F1B04A9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Resolve, NOS SOMOS O CRM</w:t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1447800"/>
            <wp:effectExtent l="0" t="0" r="11430" b="0"/>
            <wp:docPr id="4" name="Imagem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658B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531220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DD638AF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1 API é estranho</w:t>
      </w:r>
    </w:p>
    <w:p w14:paraId="679820A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19350" cy="1085850"/>
            <wp:effectExtent l="0" t="0" r="3810" b="11430"/>
            <wp:docPr id="1" name="Imagem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EA9260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C7B2AC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3095625"/>
            <wp:effectExtent l="0" t="0" r="11430" b="13335"/>
            <wp:docPr id="2" name="Imagem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melhorar a chamada, sitação sobre publico alvo varejo e indústrias e imobiliarias</w:t>
      </w:r>
    </w:p>
    <w:p w14:paraId="6273DE6E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6683AA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1704975"/>
            <wp:effectExtent l="0" t="0" r="11430" b="1905"/>
            <wp:docPr id="5" name="Imagem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protocolos</w:t>
      </w:r>
    </w:p>
    <w:p w14:paraId="1092014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15760A5F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1590675"/>
            <wp:effectExtent l="0" t="0" r="11430" b="9525"/>
            <wp:docPr id="6" name="Imagem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MG_26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remover texto selecionado</w:t>
      </w:r>
    </w:p>
    <w:p w14:paraId="40D7320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4EECC85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72C59A5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remover ‘tema claro/escuro’</w:t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962025"/>
            <wp:effectExtent l="0" t="0" r="11430" b="13335"/>
            <wp:docPr id="13" name="Imagem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7" descr="IMG_26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1A924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1FC231B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falar sobre cadencia e funil de automação.</w:t>
      </w:r>
    </w:p>
    <w:p w14:paraId="56B8D56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508768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14700" cy="4267200"/>
            <wp:effectExtent l="0" t="0" r="7620" b="0"/>
            <wp:docPr id="15" name="Imagem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8" descr="IMG_26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5F9A164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trocar por</w:t>
      </w:r>
    </w:p>
    <w:p w14:paraId="3F25B599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resumo de conversas e sugestão de respostas baseadas no contexto</w:t>
      </w:r>
    </w:p>
    <w:p w14:paraId="6C68DDD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740BA20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2600325"/>
            <wp:effectExtent l="0" t="0" r="11430" b="5715"/>
            <wp:docPr id="14" name="Imagem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9" descr="IMG_2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mudar chamada para Conheça nossa experiencia.</w:t>
      </w:r>
    </w:p>
    <w:p w14:paraId="70F6F82E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464243C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falar sobre a base de conhecimento</w:t>
      </w:r>
    </w:p>
    <w:p w14:paraId="679185E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143EA83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falar sobre ligações no whatsapp e pabx para ligações telefonicas</w:t>
      </w:r>
    </w:p>
    <w:p w14:paraId="30FF173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450A11A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falar sobre o CRM em um bloco só pra ele</w:t>
      </w:r>
    </w:p>
    <w:p w14:paraId="277658D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37D66F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86375" cy="838200"/>
            <wp:effectExtent l="0" t="0" r="1905" b="0"/>
            <wp:docPr id="7" name="Imagem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0" descr="IMG_26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techprovider com selo</w:t>
      </w:r>
    </w:p>
    <w:p w14:paraId="0449FC4F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37489C26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7C6937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1D64D907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1933575"/>
            <wp:effectExtent l="0" t="0" r="11430" b="1905"/>
            <wp:docPr id="8" name="Imagem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1" descr="IMG_26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5BFE6CA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acompanhamento em tempo real</w:t>
      </w:r>
    </w:p>
    <w:p w14:paraId="74F1F05A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E394BC2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91050" cy="2571750"/>
            <wp:effectExtent l="0" t="0" r="11430" b="3810"/>
            <wp:docPr id="12" name="Imagem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MG_26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A5C1182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subtituir por varejo, industrias.</w:t>
      </w:r>
    </w:p>
    <w:p w14:paraId="673D841F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E98A7E8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495425" cy="5143500"/>
            <wp:effectExtent l="0" t="0" r="13335" b="7620"/>
            <wp:docPr id="9" name="Imagem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3" descr="IMG_26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mudar para etapas.</w:t>
      </w:r>
    </w:p>
    <w:p w14:paraId="39C7363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1C1B418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266700"/>
            <wp:effectExtent l="0" t="0" r="11430" b="7620"/>
            <wp:docPr id="10" name="Imagem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4" descr="IMG_26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validamos o seu fluxo</w:t>
      </w:r>
    </w:p>
    <w:p w14:paraId="517DA3D1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5F059ED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34050" cy="2438400"/>
            <wp:effectExtent l="0" t="0" r="11430" b="0"/>
            <wp:docPr id="11" name="Imagem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5" descr="IMG_27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carrossel quebrado</w:t>
      </w:r>
    </w:p>
    <w:p w14:paraId="0EAE923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trocar “operçaões’ por parceiros e clientes.</w:t>
      </w:r>
    </w:p>
    <w:p w14:paraId="3CA17A6B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quem somos</w:t>
      </w:r>
    </w:p>
    <w:p w14:paraId="2C1D083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09CFFF9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Omnichannel</w:t>
      </w:r>
    </w:p>
    <w:p w14:paraId="57DAD592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EB0705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agende sua reunião MEET e compartihe com seu lead no whatsapp.</w:t>
      </w:r>
    </w:p>
    <w:p w14:paraId="6EF2666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DF2AC63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colocar o loading ‘Carregando experiencia Esistemas’ em todos as LP’s.</w:t>
      </w:r>
    </w:p>
    <w:p w14:paraId="5140E94E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0CA44385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3F90A684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6D5DA1E6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26045A4C">
      <w:pPr>
        <w:keepNext w:val="0"/>
        <w:keepLines w:val="0"/>
        <w:widowControl/>
        <w:suppressLineNumbers w:val="0"/>
        <w:spacing w:before="0" w:beforeAutospacing="0" w:after="0" w:afterAutospacing="0" w:line="273" w:lineRule="auto"/>
        <w:ind w:left="0" w:right="0"/>
        <w:jc w:val="left"/>
      </w:pPr>
      <w:r>
        <w:rPr>
          <w:rFonts w:hint="default" w:ascii="Arial" w:hAnsi="Arial" w:cs="Arial" w:eastAsiaTheme="minorEastAsia"/>
          <w:kern w:val="0"/>
          <w:sz w:val="24"/>
          <w:szCs w:val="24"/>
          <w:lang w:val="en-US" w:eastAsia="zh-CN" w:bidi="ar"/>
        </w:rPr>
        <w:t> </w:t>
      </w:r>
    </w:p>
    <w:p w14:paraId="071EF39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A43D6"/>
    <w:multiLevelType w:val="singleLevel"/>
    <w:tmpl w:val="2A0A43D6"/>
    <w:lvl w:ilvl="0" w:tentative="0">
      <w:start w:val="1"/>
      <w:numFmt w:val="bullet"/>
      <w:pStyle w:val="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4373A"/>
    <w:rsid w:val="1D71145D"/>
    <w:rsid w:val="5CB43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E486E"/>
      <w:sz w:val="34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15F82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333F50" w:themeColor="text2" w:themeShade="BF"/>
      <w:spacing w:val="5"/>
      <w:kern w:val="28"/>
      <w:sz w:val="48"/>
      <w:szCs w:val="52"/>
    </w:rPr>
  </w:style>
  <w:style w:type="paragraph" w:styleId="7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List Bullet"/>
    <w:basedOn w:val="1"/>
    <w:qFormat/>
    <w:uiPriority w:val="0"/>
    <w:pPr>
      <w:numPr>
        <w:ilvl w:val="0"/>
        <w:numId w:val="1"/>
      </w:numPr>
    </w:pPr>
  </w:style>
  <w:style w:type="table" w:styleId="9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658</Words>
  <Characters>3903</Characters>
  <Lines>1</Lines>
  <Paragraphs>1</Paragraphs>
  <TotalTime>0</TotalTime>
  <ScaleCrop>false</ScaleCrop>
  <LinksUpToDate>false</LinksUpToDate>
  <CharactersWithSpaces>4427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2026-10-09T13:59:00Z</dcterms:created>
  <dc:creator>Vinicius</dc:creator>
  <cp:lastModifiedBy>Vinicius</cp:lastModifiedBy>
  <dcterms:modified xsi:type="dcterms:W3CDTF">2026-10-09T14:03:44Z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1046-12.1.0.28485</vt:lpwstr>
  </property>
  <property fmtid="{D5CDD505-2E9C-101B-9397-08002B2CF9AE}" pid="3" name="ICV">
    <vt:lpwstr>41D0FE41D8F64389BD55E1866372F93B_11</vt:lpwstr>
  </property>
  <property fmtid="{D5CDD505-2E9C-101B-9397-08002B2CF9AE}" pid="4" name="KSOTemplateDocerSaveRecord">
    <vt:lpwstr>eyJoZGlkIjoiZWExNmUwNzY1NDU5NDBmNWUzYzg0NTY1YTkwMmMzYzkifQ==</vt:lpwstr>
  </property>
</Properties>
</file>