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Universidade do Estado do Rio de Janeiro</w:t>
      </w: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Instituto de Física – Física I</w:t>
      </w:r>
      <w:r w:rsidR="000E3AA1">
        <w:rPr>
          <w:sz w:val="32"/>
          <w:szCs w:val="32"/>
        </w:rPr>
        <w:t>II</w:t>
      </w:r>
    </w:p>
    <w:p w:rsidR="0092745C" w:rsidRPr="0092745C" w:rsidRDefault="0092745C" w:rsidP="0092745C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Pr="0092745C">
        <w:rPr>
          <w:sz w:val="32"/>
          <w:szCs w:val="32"/>
        </w:rPr>
        <w:t xml:space="preserve">rofessor </w:t>
      </w:r>
      <w:proofErr w:type="spellStart"/>
      <w:r w:rsidR="000E3AA1">
        <w:rPr>
          <w:sz w:val="32"/>
          <w:szCs w:val="32"/>
        </w:rPr>
        <w:t>Evgueni</w:t>
      </w:r>
      <w:proofErr w:type="spellEnd"/>
      <w:r w:rsidR="000E3AA1">
        <w:rPr>
          <w:sz w:val="32"/>
          <w:szCs w:val="32"/>
        </w:rPr>
        <w:t xml:space="preserve"> </w:t>
      </w:r>
      <w:proofErr w:type="spellStart"/>
      <w:r w:rsidR="000E3AA1">
        <w:rPr>
          <w:sz w:val="32"/>
          <w:szCs w:val="32"/>
        </w:rPr>
        <w:t>Jilinski</w:t>
      </w:r>
      <w:proofErr w:type="spellEnd"/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 xml:space="preserve">Prática nº </w:t>
      </w:r>
      <w:r w:rsidR="000E3AA1">
        <w:rPr>
          <w:sz w:val="32"/>
          <w:szCs w:val="32"/>
        </w:rPr>
        <w:t>4</w:t>
      </w:r>
    </w:p>
    <w:p w:rsidR="0092745C" w:rsidRPr="0007365D" w:rsidRDefault="000E3AA1" w:rsidP="0092745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Eletrostática – Linhas</w:t>
      </w:r>
      <w:proofErr w:type="gramEnd"/>
      <w:r>
        <w:rPr>
          <w:b/>
          <w:sz w:val="32"/>
          <w:szCs w:val="32"/>
        </w:rPr>
        <w:t xml:space="preserve"> Equipotenciais em um plano</w:t>
      </w:r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noProof/>
          <w:sz w:val="32"/>
          <w:szCs w:val="32"/>
          <w:lang w:eastAsia="pt-BR"/>
        </w:rPr>
        <w:drawing>
          <wp:inline distT="0" distB="0" distL="0" distR="0" wp14:anchorId="7866F5B3" wp14:editId="20ECBC68">
            <wp:extent cx="1129030" cy="1268730"/>
            <wp:effectExtent l="0" t="0" r="0" b="7620"/>
            <wp:docPr id="3" name="Imagem 3" descr="http://s3.amazonaws.com/magoo/ABAAAA7S4AC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magoo/ABAAAA7S4AC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rPr>
          <w:sz w:val="32"/>
          <w:szCs w:val="32"/>
        </w:rPr>
      </w:pPr>
    </w:p>
    <w:p w:rsidR="0092745C" w:rsidRDefault="0092745C" w:rsidP="0092745C">
      <w:pPr>
        <w:rPr>
          <w:sz w:val="32"/>
          <w:szCs w:val="32"/>
        </w:rPr>
      </w:pPr>
    </w:p>
    <w:p w:rsidR="00D612DF" w:rsidRPr="0092745C" w:rsidRDefault="00D612DF" w:rsidP="0092745C">
      <w:pPr>
        <w:rPr>
          <w:sz w:val="32"/>
          <w:szCs w:val="32"/>
        </w:rPr>
      </w:pPr>
    </w:p>
    <w:p w:rsidR="0092745C" w:rsidRPr="0092745C" w:rsidRDefault="0092745C" w:rsidP="0092745C">
      <w:pPr>
        <w:rPr>
          <w:sz w:val="32"/>
          <w:szCs w:val="32"/>
        </w:rPr>
      </w:pPr>
    </w:p>
    <w:p w:rsidR="0092745C" w:rsidRPr="0092745C" w:rsidRDefault="0092745C" w:rsidP="0092745C">
      <w:pPr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Rio de Janeiro</w:t>
      </w:r>
    </w:p>
    <w:p w:rsidR="0092745C" w:rsidRDefault="00DE7CBE" w:rsidP="0092745C">
      <w:pPr>
        <w:jc w:val="center"/>
        <w:rPr>
          <w:sz w:val="32"/>
          <w:szCs w:val="32"/>
        </w:rPr>
      </w:pPr>
      <w:r>
        <w:rPr>
          <w:sz w:val="32"/>
          <w:szCs w:val="32"/>
        </w:rPr>
        <w:t>2013</w:t>
      </w:r>
    </w:p>
    <w:p w:rsidR="00D612DF" w:rsidRPr="0092745C" w:rsidRDefault="00D612DF" w:rsidP="0092745C">
      <w:pPr>
        <w:jc w:val="center"/>
        <w:rPr>
          <w:sz w:val="32"/>
          <w:szCs w:val="32"/>
        </w:rPr>
      </w:pPr>
      <w:bookmarkStart w:id="0" w:name="_GoBack"/>
      <w:bookmarkEnd w:id="0"/>
    </w:p>
    <w:p w:rsidR="0092745C" w:rsidRPr="00451CA0" w:rsidRDefault="00EC62DC" w:rsidP="0092745C">
      <w:pPr>
        <w:rPr>
          <w:b/>
        </w:rPr>
      </w:pPr>
      <w:r>
        <w:rPr>
          <w:b/>
        </w:rPr>
        <w:t>I</w:t>
      </w:r>
      <w:r w:rsidR="0092745C" w:rsidRPr="00451CA0">
        <w:rPr>
          <w:b/>
        </w:rPr>
        <w:t>) Procedimento</w:t>
      </w:r>
    </w:p>
    <w:p w:rsidR="006A254A" w:rsidRDefault="00760A5E" w:rsidP="0092745C">
      <w:r>
        <w:lastRenderedPageBreak/>
        <w:tab/>
        <w:t xml:space="preserve">O experimento foi realizado numa aparelhagem previamente montada, que consistia em uma cuba redonda isolada transparente, sobre uma folha de papel </w:t>
      </w:r>
      <w:proofErr w:type="spellStart"/>
      <w:r>
        <w:t>milimetrado</w:t>
      </w:r>
      <w:proofErr w:type="spellEnd"/>
      <w:r>
        <w:t xml:space="preserve">. Com dois eletrodos de sinais opostos posicionados em pontos distintos, usou-se um voltímetro para realização a medição da corrente em pontos determinados, que associados ao papel </w:t>
      </w:r>
      <w:proofErr w:type="spellStart"/>
      <w:r>
        <w:t>milimetrado</w:t>
      </w:r>
      <w:proofErr w:type="spellEnd"/>
      <w:r>
        <w:t>, nos forneciam coordenadas x e y. Assim, os dados obtidos nos permitiram construir as linhas equipotenciais.</w:t>
      </w:r>
    </w:p>
    <w:p w:rsidR="0007365D" w:rsidRDefault="0007365D" w:rsidP="0007365D">
      <w:pPr>
        <w:jc w:val="center"/>
      </w:pPr>
    </w:p>
    <w:p w:rsidR="0092745C" w:rsidRDefault="00760A5E" w:rsidP="0092745C">
      <w:pPr>
        <w:rPr>
          <w:b/>
        </w:rPr>
      </w:pPr>
      <w:proofErr w:type="gramStart"/>
      <w:r>
        <w:rPr>
          <w:b/>
        </w:rPr>
        <w:t>II</w:t>
      </w:r>
      <w:r w:rsidR="00451CA0">
        <w:rPr>
          <w:b/>
        </w:rPr>
        <w:t>)</w:t>
      </w:r>
      <w:proofErr w:type="gramEnd"/>
      <w:r w:rsidR="00451CA0">
        <w:rPr>
          <w:b/>
        </w:rPr>
        <w:t xml:space="preserve"> </w:t>
      </w:r>
      <w:r w:rsidR="0063386A">
        <w:rPr>
          <w:b/>
        </w:rPr>
        <w:t>Dados Obtidos</w:t>
      </w:r>
    </w:p>
    <w:p w:rsidR="0063386A" w:rsidRDefault="0063386A" w:rsidP="0092745C">
      <w:pPr>
        <w:rPr>
          <w:b/>
        </w:rPr>
      </w:pPr>
    </w:p>
    <w:p w:rsidR="0063386A" w:rsidRPr="00451CA0" w:rsidRDefault="0063386A" w:rsidP="0092745C">
      <w:pPr>
        <w:rPr>
          <w:b/>
        </w:rPr>
      </w:pPr>
    </w:p>
    <w:p w:rsidR="0092745C" w:rsidRDefault="0002454D" w:rsidP="0002454D">
      <w:pPr>
        <w:jc w:val="center"/>
        <w:rPr>
          <w:i/>
        </w:rPr>
      </w:pPr>
      <w:r w:rsidRPr="0002454D">
        <w:rPr>
          <w:i/>
        </w:rPr>
        <w:t xml:space="preserve">Tabela 1: Valores obtidos associados às suas coordenadas </w:t>
      </w:r>
      <w:r w:rsidRPr="0002454D">
        <w:rPr>
          <w:noProof/>
          <w:lang w:eastAsia="pt-BR"/>
        </w:rPr>
        <w:drawing>
          <wp:inline distT="0" distB="0" distL="0" distR="0" wp14:anchorId="7B2D4405" wp14:editId="12975E71">
            <wp:extent cx="5400040" cy="275716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4D" w:rsidRDefault="0002454D" w:rsidP="0002454D">
      <w:pPr>
        <w:jc w:val="center"/>
        <w:rPr>
          <w:i/>
        </w:rPr>
      </w:pPr>
      <w:r w:rsidRPr="0002454D">
        <w:rPr>
          <w:noProof/>
          <w:lang w:eastAsia="pt-BR"/>
        </w:rPr>
        <w:drawing>
          <wp:inline distT="0" distB="0" distL="0" distR="0" wp14:anchorId="66504E30" wp14:editId="31D462C7">
            <wp:extent cx="5400040" cy="627338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4D" w:rsidRDefault="0002454D" w:rsidP="0002454D"/>
    <w:p w:rsidR="00CC3ACB" w:rsidRDefault="00CC3ACB" w:rsidP="0002454D"/>
    <w:p w:rsidR="00CC3ACB" w:rsidRDefault="00CC3ACB" w:rsidP="0002454D"/>
    <w:p w:rsidR="00CC3ACB" w:rsidRDefault="00CC3ACB" w:rsidP="0002454D"/>
    <w:p w:rsidR="00CC3ACB" w:rsidRDefault="00CC3ACB" w:rsidP="0002454D"/>
    <w:p w:rsidR="00CC3ACB" w:rsidRDefault="00CC3ACB" w:rsidP="0002454D"/>
    <w:p w:rsidR="00CC3ACB" w:rsidRPr="00CC3ACB" w:rsidRDefault="00CC3ACB" w:rsidP="00CC3ACB">
      <w:pPr>
        <w:jc w:val="center"/>
        <w:rPr>
          <w:i/>
        </w:rPr>
      </w:pPr>
      <w:r w:rsidRPr="00CC3ACB">
        <w:rPr>
          <w:i/>
        </w:rPr>
        <w:t>Gráfico: Registro dos potenciais (mapeamento da intensidade do ca</w:t>
      </w:r>
      <w:r>
        <w:rPr>
          <w:i/>
        </w:rPr>
        <w:t>mpo elétrico</w:t>
      </w:r>
      <w:r w:rsidR="002E5C12">
        <w:rPr>
          <w:i/>
        </w:rPr>
        <w:t>)</w:t>
      </w:r>
      <w:r>
        <w:rPr>
          <w:i/>
        </w:rPr>
        <w:t>. Eixos X e Y invertidos, para melhor visualização.</w:t>
      </w:r>
    </w:p>
    <w:p w:rsidR="00E90140" w:rsidRDefault="00CC3ACB" w:rsidP="0092745C">
      <w:pPr>
        <w:rPr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4860FD95" wp14:editId="40A6CCFD">
            <wp:extent cx="5400040" cy="3281083"/>
            <wp:effectExtent l="0" t="0" r="1016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674A" w:rsidRPr="00057665" w:rsidRDefault="00C4674A" w:rsidP="0092745C">
      <w:pPr>
        <w:rPr>
          <w:sz w:val="18"/>
          <w:szCs w:val="18"/>
        </w:rPr>
      </w:pPr>
    </w:p>
    <w:p w:rsidR="00C4674A" w:rsidRDefault="00C4674A" w:rsidP="0092745C">
      <w:pPr>
        <w:rPr>
          <w:color w:val="FF0000"/>
        </w:rPr>
      </w:pPr>
    </w:p>
    <w:p w:rsidR="00C4674A" w:rsidRPr="0063386A" w:rsidRDefault="0063386A" w:rsidP="0092745C">
      <w:pPr>
        <w:rPr>
          <w:b/>
          <w:color w:val="FF0000"/>
        </w:rPr>
      </w:pPr>
      <w:r w:rsidRPr="0063386A">
        <w:rPr>
          <w:b/>
        </w:rPr>
        <w:t>III) Questionário</w:t>
      </w:r>
    </w:p>
    <w:p w:rsidR="006951EF" w:rsidRDefault="006951EF" w:rsidP="006951EF">
      <w:pPr>
        <w:pStyle w:val="PargrafodaLista"/>
        <w:numPr>
          <w:ilvl w:val="0"/>
          <w:numId w:val="4"/>
        </w:numPr>
      </w:pPr>
      <w:r>
        <w:t>Por que o negativo da fonte e o negativo do voltímetro estão ligados juntos?</w:t>
      </w:r>
    </w:p>
    <w:p w:rsidR="006951EF" w:rsidRPr="006951EF" w:rsidRDefault="006951EF" w:rsidP="006951EF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kern w:val="3"/>
        </w:rPr>
      </w:pPr>
      <w:r w:rsidRPr="006951EF">
        <w:rPr>
          <w:rFonts w:cs="Arial"/>
          <w:b/>
          <w:kern w:val="3"/>
        </w:rPr>
        <w:t>Porque marca a medida da diferença de potencial relativa da fonte positiva, pois a fonte negativa foi adotada como zero.</w:t>
      </w:r>
    </w:p>
    <w:p w:rsidR="006951EF" w:rsidRDefault="006951EF" w:rsidP="006951EF">
      <w:pPr>
        <w:pStyle w:val="PargrafodaLista"/>
      </w:pPr>
    </w:p>
    <w:p w:rsidR="006951EF" w:rsidRDefault="006951EF" w:rsidP="006951EF">
      <w:pPr>
        <w:pStyle w:val="PargrafodaLista"/>
        <w:numPr>
          <w:ilvl w:val="0"/>
          <w:numId w:val="4"/>
        </w:numPr>
      </w:pPr>
      <w:r>
        <w:t>Justifique a posição da vertical da ponta de prova do voltímetro ao fazer medidas.</w:t>
      </w:r>
    </w:p>
    <w:p w:rsidR="006951EF" w:rsidRPr="006951EF" w:rsidRDefault="006951EF" w:rsidP="006951EF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kern w:val="3"/>
        </w:rPr>
      </w:pPr>
      <w:r w:rsidRPr="006951EF">
        <w:rPr>
          <w:rFonts w:cs="Arial"/>
          <w:b/>
          <w:kern w:val="3"/>
        </w:rPr>
        <w:t>Ao inclinar</w:t>
      </w:r>
      <w:r>
        <w:rPr>
          <w:rFonts w:cs="Arial"/>
          <w:b/>
          <w:kern w:val="3"/>
        </w:rPr>
        <w:t xml:space="preserve"> a ponta</w:t>
      </w:r>
      <w:r w:rsidRPr="006951EF">
        <w:rPr>
          <w:rFonts w:cs="Arial"/>
          <w:b/>
          <w:kern w:val="3"/>
        </w:rPr>
        <w:t xml:space="preserve"> aumenta-se a área de contato com a água, o que gera um erro na medição</w:t>
      </w:r>
      <w:r>
        <w:rPr>
          <w:rFonts w:cs="Arial"/>
          <w:b/>
          <w:kern w:val="3"/>
        </w:rPr>
        <w:t>, pois</w:t>
      </w:r>
      <w:r w:rsidRPr="006951EF">
        <w:rPr>
          <w:rFonts w:cs="Arial"/>
          <w:b/>
          <w:kern w:val="3"/>
        </w:rPr>
        <w:t xml:space="preserve"> depende da área de contato.</w:t>
      </w:r>
    </w:p>
    <w:p w:rsidR="006951EF" w:rsidRDefault="006951EF" w:rsidP="006951EF">
      <w:pPr>
        <w:pStyle w:val="PargrafodaLista"/>
      </w:pPr>
    </w:p>
    <w:p w:rsidR="006951EF" w:rsidRDefault="006951EF" w:rsidP="006951EF">
      <w:pPr>
        <w:pStyle w:val="PargrafodaLista"/>
        <w:numPr>
          <w:ilvl w:val="0"/>
          <w:numId w:val="4"/>
        </w:numPr>
      </w:pPr>
      <w:r>
        <w:t>Qual a precisão da escala utilizada no voltímetro?</w:t>
      </w:r>
    </w:p>
    <w:p w:rsidR="006951EF" w:rsidRPr="006951EF" w:rsidRDefault="006951EF" w:rsidP="006951EF">
      <w:pPr>
        <w:pStyle w:val="PargrafodaLista"/>
        <w:rPr>
          <w:b/>
        </w:rPr>
      </w:pPr>
      <w:r w:rsidRPr="006951EF">
        <w:rPr>
          <w:b/>
        </w:rPr>
        <w:t>1% (0,10)</w:t>
      </w:r>
    </w:p>
    <w:p w:rsidR="006951EF" w:rsidRDefault="006951EF" w:rsidP="006951EF">
      <w:pPr>
        <w:pStyle w:val="PargrafodaLista"/>
      </w:pPr>
    </w:p>
    <w:p w:rsidR="006951EF" w:rsidRPr="006F386C" w:rsidRDefault="006951EF" w:rsidP="006951EF">
      <w:pPr>
        <w:pStyle w:val="PargrafodaLista"/>
        <w:numPr>
          <w:ilvl w:val="0"/>
          <w:numId w:val="4"/>
        </w:numPr>
        <w:rPr>
          <w:color w:val="FF0000"/>
        </w:rPr>
      </w:pPr>
      <w:r w:rsidRPr="006F386C">
        <w:rPr>
          <w:color w:val="FF0000"/>
        </w:rPr>
        <w:t xml:space="preserve">Que direção deve ser escolhida para determinar o valor do campo elétrico e </w:t>
      </w:r>
      <w:proofErr w:type="gramStart"/>
      <w:r w:rsidRPr="006F386C">
        <w:rPr>
          <w:color w:val="FF0000"/>
        </w:rPr>
        <w:t>porque</w:t>
      </w:r>
      <w:proofErr w:type="gramEnd"/>
      <w:r w:rsidRPr="006F386C">
        <w:rPr>
          <w:color w:val="FF0000"/>
        </w:rPr>
        <w:t>? Como se calcula o valor do campo elétrico?</w:t>
      </w:r>
    </w:p>
    <w:p w:rsidR="006951EF" w:rsidRDefault="006951EF" w:rsidP="006951EF">
      <w:pPr>
        <w:pStyle w:val="PargrafodaLista"/>
      </w:pPr>
    </w:p>
    <w:p w:rsidR="006951EF" w:rsidRDefault="006951EF" w:rsidP="006951EF">
      <w:pPr>
        <w:pStyle w:val="PargrafodaLista"/>
      </w:pPr>
    </w:p>
    <w:p w:rsidR="006951EF" w:rsidRDefault="006951EF" w:rsidP="006951EF">
      <w:pPr>
        <w:pStyle w:val="PargrafodaLista"/>
        <w:numPr>
          <w:ilvl w:val="0"/>
          <w:numId w:val="4"/>
        </w:numPr>
      </w:pPr>
      <w:r>
        <w:t>Qual o sinal dos potenciais das equipotenciais? Você acha que é coincidência? Explique.</w:t>
      </w:r>
    </w:p>
    <w:p w:rsidR="006F386C" w:rsidRPr="006F386C" w:rsidRDefault="006F386C" w:rsidP="006F386C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</w:rPr>
      </w:pPr>
      <w:r w:rsidRPr="006F386C">
        <w:rPr>
          <w:rFonts w:cs="Arial"/>
          <w:b/>
          <w:kern w:val="3"/>
        </w:rPr>
        <w:t>Sinal positivo. Não é coincidência, pois a fonte negativa foi determinada como zero.</w:t>
      </w:r>
    </w:p>
    <w:p w:rsidR="00AB0392" w:rsidRDefault="00AB0392" w:rsidP="0092745C"/>
    <w:p w:rsidR="00AB0392" w:rsidRDefault="00AB0392" w:rsidP="0092745C"/>
    <w:sectPr w:rsidR="00AB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794"/>
    <w:multiLevelType w:val="hybridMultilevel"/>
    <w:tmpl w:val="04D6FE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73518"/>
    <w:multiLevelType w:val="hybridMultilevel"/>
    <w:tmpl w:val="103A0088"/>
    <w:lvl w:ilvl="0" w:tplc="7872083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474F5281"/>
    <w:multiLevelType w:val="hybridMultilevel"/>
    <w:tmpl w:val="2C5E91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0906"/>
    <w:multiLevelType w:val="hybridMultilevel"/>
    <w:tmpl w:val="CE6A2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F5011"/>
    <w:multiLevelType w:val="hybridMultilevel"/>
    <w:tmpl w:val="C0A28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5C"/>
    <w:rsid w:val="0002454D"/>
    <w:rsid w:val="0003373E"/>
    <w:rsid w:val="00056553"/>
    <w:rsid w:val="00057665"/>
    <w:rsid w:val="0007365D"/>
    <w:rsid w:val="000E3AA1"/>
    <w:rsid w:val="0024472E"/>
    <w:rsid w:val="002E326F"/>
    <w:rsid w:val="002E5C12"/>
    <w:rsid w:val="00451CA0"/>
    <w:rsid w:val="00551E3D"/>
    <w:rsid w:val="0063386A"/>
    <w:rsid w:val="00657CB5"/>
    <w:rsid w:val="006951EF"/>
    <w:rsid w:val="006A254A"/>
    <w:rsid w:val="006F386C"/>
    <w:rsid w:val="007008F9"/>
    <w:rsid w:val="00760A5E"/>
    <w:rsid w:val="00763646"/>
    <w:rsid w:val="0092745C"/>
    <w:rsid w:val="00A16147"/>
    <w:rsid w:val="00A50911"/>
    <w:rsid w:val="00A572C2"/>
    <w:rsid w:val="00A82BEE"/>
    <w:rsid w:val="00AB0392"/>
    <w:rsid w:val="00B92554"/>
    <w:rsid w:val="00B96CC9"/>
    <w:rsid w:val="00C4674A"/>
    <w:rsid w:val="00C8791F"/>
    <w:rsid w:val="00CC3ACB"/>
    <w:rsid w:val="00D031EE"/>
    <w:rsid w:val="00D612DF"/>
    <w:rsid w:val="00DC509C"/>
    <w:rsid w:val="00DE7CBE"/>
    <w:rsid w:val="00E12129"/>
    <w:rsid w:val="00E64F69"/>
    <w:rsid w:val="00E90140"/>
    <w:rsid w:val="00EC62DC"/>
    <w:rsid w:val="00EE0AD9"/>
    <w:rsid w:val="00F23F74"/>
    <w:rsid w:val="00F6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4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4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stavo\Desktop\PR&#193;TICA%204%20-%20gr&#225;fico%201705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Plan1!$E$3:$E$15</c:f>
              <c:numCache>
                <c:formatCode>0.0</c:formatCode>
                <c:ptCount val="13"/>
                <c:pt idx="0">
                  <c:v>12.92</c:v>
                </c:pt>
                <c:pt idx="1">
                  <c:v>13.22</c:v>
                </c:pt>
                <c:pt idx="2">
                  <c:v>13.58</c:v>
                </c:pt>
                <c:pt idx="3">
                  <c:v>13.93</c:v>
                </c:pt>
                <c:pt idx="4">
                  <c:v>14.39</c:v>
                </c:pt>
                <c:pt idx="5">
                  <c:v>14.72</c:v>
                </c:pt>
                <c:pt idx="6">
                  <c:v>14.81</c:v>
                </c:pt>
                <c:pt idx="7">
                  <c:v>14.59</c:v>
                </c:pt>
                <c:pt idx="8">
                  <c:v>14.24</c:v>
                </c:pt>
                <c:pt idx="9">
                  <c:v>13.86</c:v>
                </c:pt>
                <c:pt idx="10">
                  <c:v>13.48</c:v>
                </c:pt>
                <c:pt idx="11">
                  <c:v>13.14</c:v>
                </c:pt>
                <c:pt idx="12">
                  <c:v>12.91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Plan1!$F$3:$F$15</c:f>
              <c:numCache>
                <c:formatCode>0.0</c:formatCode>
                <c:ptCount val="13"/>
                <c:pt idx="0">
                  <c:v>12.61</c:v>
                </c:pt>
                <c:pt idx="1">
                  <c:v>12.95</c:v>
                </c:pt>
                <c:pt idx="2">
                  <c:v>13.28</c:v>
                </c:pt>
                <c:pt idx="3">
                  <c:v>13.76</c:v>
                </c:pt>
                <c:pt idx="4">
                  <c:v>14.24</c:v>
                </c:pt>
                <c:pt idx="5">
                  <c:v>14.75</c:v>
                </c:pt>
                <c:pt idx="6">
                  <c:v>14.95</c:v>
                </c:pt>
                <c:pt idx="7">
                  <c:v>14.62</c:v>
                </c:pt>
                <c:pt idx="8">
                  <c:v>14.11</c:v>
                </c:pt>
                <c:pt idx="9">
                  <c:v>13.68</c:v>
                </c:pt>
                <c:pt idx="10">
                  <c:v>13.26</c:v>
                </c:pt>
                <c:pt idx="11">
                  <c:v>12.94</c:v>
                </c:pt>
                <c:pt idx="12">
                  <c:v>12.67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Plan1!$G$3:$G$15</c:f>
              <c:numCache>
                <c:formatCode>0.0</c:formatCode>
                <c:ptCount val="13"/>
                <c:pt idx="0">
                  <c:v>12.24</c:v>
                </c:pt>
                <c:pt idx="1">
                  <c:v>12.54</c:v>
                </c:pt>
                <c:pt idx="2">
                  <c:v>12.87</c:v>
                </c:pt>
                <c:pt idx="3">
                  <c:v>13.32</c:v>
                </c:pt>
                <c:pt idx="4">
                  <c:v>14.03</c:v>
                </c:pt>
                <c:pt idx="5">
                  <c:v>15.03</c:v>
                </c:pt>
                <c:pt idx="6">
                  <c:v>15.79</c:v>
                </c:pt>
                <c:pt idx="7">
                  <c:v>14.88</c:v>
                </c:pt>
                <c:pt idx="8">
                  <c:v>14.09</c:v>
                </c:pt>
                <c:pt idx="9">
                  <c:v>13.48</c:v>
                </c:pt>
                <c:pt idx="10">
                  <c:v>13.02</c:v>
                </c:pt>
                <c:pt idx="11">
                  <c:v>12.64</c:v>
                </c:pt>
                <c:pt idx="12">
                  <c:v>12.33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Plan1!$H$3:$H$15</c:f>
              <c:numCache>
                <c:formatCode>0.0</c:formatCode>
                <c:ptCount val="13"/>
                <c:pt idx="0">
                  <c:v>11.82</c:v>
                </c:pt>
                <c:pt idx="1">
                  <c:v>12.08</c:v>
                </c:pt>
                <c:pt idx="2">
                  <c:v>12.28</c:v>
                </c:pt>
                <c:pt idx="3">
                  <c:v>12.68</c:v>
                </c:pt>
                <c:pt idx="4">
                  <c:v>13.33</c:v>
                </c:pt>
                <c:pt idx="5">
                  <c:v>14.49</c:v>
                </c:pt>
                <c:pt idx="6">
                  <c:v>17.34</c:v>
                </c:pt>
                <c:pt idx="7">
                  <c:v>14.56</c:v>
                </c:pt>
                <c:pt idx="8">
                  <c:v>13.3</c:v>
                </c:pt>
                <c:pt idx="9">
                  <c:v>12.58</c:v>
                </c:pt>
                <c:pt idx="10">
                  <c:v>12.2</c:v>
                </c:pt>
                <c:pt idx="11">
                  <c:v>11.88</c:v>
                </c:pt>
                <c:pt idx="12">
                  <c:v>11.69</c:v>
                </c:pt>
              </c:numCache>
            </c:numRef>
          </c:yVal>
          <c:smooth val="0"/>
        </c:ser>
        <c:ser>
          <c:idx val="4"/>
          <c:order val="4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Plan1!$I$3:$I$15</c:f>
              <c:numCache>
                <c:formatCode>0.0</c:formatCode>
                <c:ptCount val="13"/>
                <c:pt idx="0">
                  <c:v>11.42</c:v>
                </c:pt>
                <c:pt idx="1">
                  <c:v>11.57</c:v>
                </c:pt>
                <c:pt idx="2">
                  <c:v>11.77</c:v>
                </c:pt>
                <c:pt idx="3">
                  <c:v>12.08</c:v>
                </c:pt>
                <c:pt idx="4">
                  <c:v>12.7</c:v>
                </c:pt>
                <c:pt idx="5">
                  <c:v>13.56</c:v>
                </c:pt>
                <c:pt idx="6">
                  <c:v>13.89</c:v>
                </c:pt>
                <c:pt idx="7">
                  <c:v>13.39</c:v>
                </c:pt>
                <c:pt idx="8">
                  <c:v>12.47</c:v>
                </c:pt>
                <c:pt idx="9">
                  <c:v>11.96</c:v>
                </c:pt>
                <c:pt idx="10">
                  <c:v>11.63</c:v>
                </c:pt>
                <c:pt idx="11">
                  <c:v>11.38</c:v>
                </c:pt>
                <c:pt idx="12">
                  <c:v>11.24</c:v>
                </c:pt>
              </c:numCache>
            </c:numRef>
          </c:yVal>
          <c:smooth val="0"/>
        </c:ser>
        <c:ser>
          <c:idx val="5"/>
          <c:order val="5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Plan1!$J$3:$J$15</c:f>
              <c:numCache>
                <c:formatCode>0.0</c:formatCode>
                <c:ptCount val="13"/>
                <c:pt idx="0">
                  <c:v>10.83</c:v>
                </c:pt>
                <c:pt idx="1">
                  <c:v>10.88</c:v>
                </c:pt>
                <c:pt idx="2">
                  <c:v>11.01</c:v>
                </c:pt>
                <c:pt idx="3">
                  <c:v>11.18</c:v>
                </c:pt>
                <c:pt idx="4">
                  <c:v>11.49</c:v>
                </c:pt>
                <c:pt idx="5">
                  <c:v>11.8</c:v>
                </c:pt>
                <c:pt idx="6">
                  <c:v>11.93</c:v>
                </c:pt>
                <c:pt idx="7">
                  <c:v>11.81</c:v>
                </c:pt>
                <c:pt idx="8">
                  <c:v>11.49</c:v>
                </c:pt>
                <c:pt idx="9">
                  <c:v>11.17</c:v>
                </c:pt>
                <c:pt idx="10">
                  <c:v>10.96</c:v>
                </c:pt>
                <c:pt idx="11">
                  <c:v>10.83</c:v>
                </c:pt>
                <c:pt idx="12">
                  <c:v>10.76</c:v>
                </c:pt>
              </c:numCache>
            </c:numRef>
          </c:yVal>
          <c:smooth val="0"/>
        </c:ser>
        <c:ser>
          <c:idx val="6"/>
          <c:order val="6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Plan1!$K$3:$K$15</c:f>
              <c:numCache>
                <c:formatCode>0.0</c:formatCode>
                <c:ptCount val="13"/>
                <c:pt idx="0">
                  <c:v>10.19</c:v>
                </c:pt>
                <c:pt idx="1">
                  <c:v>10.11</c:v>
                </c:pt>
                <c:pt idx="2">
                  <c:v>10.08</c:v>
                </c:pt>
                <c:pt idx="3">
                  <c:v>10.11</c:v>
                </c:pt>
                <c:pt idx="4">
                  <c:v>10.130000000000001</c:v>
                </c:pt>
                <c:pt idx="5">
                  <c:v>10.17</c:v>
                </c:pt>
                <c:pt idx="6">
                  <c:v>10.32</c:v>
                </c:pt>
                <c:pt idx="7">
                  <c:v>10.32</c:v>
                </c:pt>
                <c:pt idx="8">
                  <c:v>10.23</c:v>
                </c:pt>
                <c:pt idx="9">
                  <c:v>10.119999999999999</c:v>
                </c:pt>
                <c:pt idx="10">
                  <c:v>10.18</c:v>
                </c:pt>
                <c:pt idx="11">
                  <c:v>10.17</c:v>
                </c:pt>
                <c:pt idx="12">
                  <c:v>10.24</c:v>
                </c:pt>
              </c:numCache>
            </c:numRef>
          </c:yVal>
          <c:smooth val="0"/>
        </c:ser>
        <c:ser>
          <c:idx val="7"/>
          <c:order val="7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Plan1!$L$3:$L$15</c:f>
              <c:numCache>
                <c:formatCode>0.0</c:formatCode>
                <c:ptCount val="13"/>
                <c:pt idx="0">
                  <c:v>9.3000000000000007</c:v>
                </c:pt>
                <c:pt idx="1">
                  <c:v>9.15</c:v>
                </c:pt>
                <c:pt idx="2">
                  <c:v>8.9499999999999993</c:v>
                </c:pt>
                <c:pt idx="3">
                  <c:v>8.75</c:v>
                </c:pt>
                <c:pt idx="4">
                  <c:v>8.7899999999999991</c:v>
                </c:pt>
                <c:pt idx="5">
                  <c:v>8.69</c:v>
                </c:pt>
                <c:pt idx="6">
                  <c:v>8.6</c:v>
                </c:pt>
                <c:pt idx="7">
                  <c:v>8.5500000000000007</c:v>
                </c:pt>
                <c:pt idx="8">
                  <c:v>8.7799999999999994</c:v>
                </c:pt>
                <c:pt idx="9">
                  <c:v>9.0299999999999994</c:v>
                </c:pt>
                <c:pt idx="10">
                  <c:v>9.27</c:v>
                </c:pt>
                <c:pt idx="11">
                  <c:v>9.48</c:v>
                </c:pt>
                <c:pt idx="12">
                  <c:v>9.68</c:v>
                </c:pt>
              </c:numCache>
            </c:numRef>
          </c:yVal>
          <c:smooth val="0"/>
        </c:ser>
        <c:ser>
          <c:idx val="8"/>
          <c:order val="8"/>
          <c:marker>
            <c:symbol val="none"/>
          </c:marker>
          <c:xVal>
            <c:multiLvlStrRef>
              <c:f>'[PRÁTICA 4 - gráfico 170513.xlsx]Plan1'!$B$3:$D$15</c:f>
              <c:multiLvlStrCache>
                <c:ptCount val="13"/>
                <c:lvl>
                  <c:pt idx="0">
                    <c:v>—</c:v>
                  </c:pt>
                  <c:pt idx="1">
                    <c:v>13,5</c:v>
                  </c:pt>
                  <c:pt idx="2">
                    <c:v>14,0</c:v>
                  </c:pt>
                  <c:pt idx="3">
                    <c:v>14,3</c:v>
                  </c:pt>
                  <c:pt idx="4">
                    <c:v>14,6</c:v>
                  </c:pt>
                  <c:pt idx="5">
                    <c:v>14,9</c:v>
                  </c:pt>
                  <c:pt idx="6">
                    <c:v>15,0</c:v>
                  </c:pt>
                  <c:pt idx="7">
                    <c:v>14,8</c:v>
                  </c:pt>
                  <c:pt idx="8">
                    <c:v>14,5</c:v>
                  </c:pt>
                  <c:pt idx="9">
                    <c:v>14,1</c:v>
                  </c:pt>
                  <c:pt idx="10">
                    <c:v>13,8</c:v>
                  </c:pt>
                  <c:pt idx="11">
                    <c:v>13,4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14,1</c:v>
                  </c:pt>
                  <c:pt idx="3">
                    <c:v>14,5</c:v>
                  </c:pt>
                  <c:pt idx="4">
                    <c:v>15,0</c:v>
                  </c:pt>
                  <c:pt idx="5">
                    <c:v>15,3</c:v>
                  </c:pt>
                  <c:pt idx="6">
                    <c:v>15,4</c:v>
                  </c:pt>
                  <c:pt idx="7">
                    <c:v>15,1</c:v>
                  </c:pt>
                  <c:pt idx="8">
                    <c:v>14,7</c:v>
                  </c:pt>
                  <c:pt idx="9">
                    <c:v>14,3</c:v>
                  </c:pt>
                  <c:pt idx="10">
                    <c:v>13,9</c:v>
                  </c:pt>
                  <c:pt idx="11">
                    <c:v>—</c:v>
                  </c:pt>
                  <c:pt idx="12">
                    <c:v>—</c:v>
                  </c:pt>
                </c:lvl>
                <c:lvl>
                  <c:pt idx="0">
                    <c:v>—</c:v>
                  </c:pt>
                  <c:pt idx="1">
                    <c:v>—</c:v>
                  </c:pt>
                  <c:pt idx="2">
                    <c:v>—</c:v>
                  </c:pt>
                  <c:pt idx="3">
                    <c:v>—</c:v>
                  </c:pt>
                  <c:pt idx="4">
                    <c:v>15,3</c:v>
                  </c:pt>
                  <c:pt idx="5">
                    <c:v>15,9</c:v>
                  </c:pt>
                  <c:pt idx="6">
                    <c:v>16,5</c:v>
                  </c:pt>
                  <c:pt idx="7">
                    <c:v>15,7</c:v>
                  </c:pt>
                  <c:pt idx="8">
                    <c:v>14,8</c:v>
                  </c:pt>
                  <c:pt idx="9">
                    <c:v>—</c:v>
                  </c:pt>
                  <c:pt idx="10">
                    <c:v>—</c:v>
                  </c:pt>
                  <c:pt idx="11">
                    <c:v>—</c:v>
                  </c:pt>
                  <c:pt idx="12">
                    <c:v>—</c:v>
                  </c:pt>
                </c:lvl>
              </c:multiLvlStrCache>
            </c:multiLvlStrRef>
          </c:xVal>
          <c:yVal>
            <c:numRef>
              <c:f>Plan1!$M$3:$M$15</c:f>
              <c:numCache>
                <c:formatCode>0.0</c:formatCode>
                <c:ptCount val="13"/>
                <c:pt idx="0">
                  <c:v>8.5</c:v>
                </c:pt>
                <c:pt idx="1">
                  <c:v>8.24</c:v>
                </c:pt>
                <c:pt idx="2">
                  <c:v>7.89</c:v>
                </c:pt>
                <c:pt idx="3">
                  <c:v>7.42</c:v>
                </c:pt>
                <c:pt idx="4">
                  <c:v>6.93</c:v>
                </c:pt>
                <c:pt idx="5">
                  <c:v>6.52</c:v>
                </c:pt>
                <c:pt idx="6">
                  <c:v>6.58</c:v>
                </c:pt>
                <c:pt idx="7">
                  <c:v>7</c:v>
                </c:pt>
                <c:pt idx="8">
                  <c:v>7.43</c:v>
                </c:pt>
                <c:pt idx="9">
                  <c:v>7.87</c:v>
                </c:pt>
                <c:pt idx="10">
                  <c:v>8.35</c:v>
                </c:pt>
                <c:pt idx="11">
                  <c:v>8.73</c:v>
                </c:pt>
                <c:pt idx="12">
                  <c:v>9.09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27616"/>
        <c:axId val="39329152"/>
      </c:scatterChart>
      <c:valAx>
        <c:axId val="39327616"/>
        <c:scaling>
          <c:orientation val="minMax"/>
        </c:scaling>
        <c:delete val="0"/>
        <c:axPos val="b"/>
        <c:majorTickMark val="out"/>
        <c:minorTickMark val="none"/>
        <c:tickLblPos val="nextTo"/>
        <c:crossAx val="39329152"/>
        <c:crosses val="autoZero"/>
        <c:crossBetween val="midCat"/>
      </c:valAx>
      <c:valAx>
        <c:axId val="39329152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393276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14</cp:revision>
  <dcterms:created xsi:type="dcterms:W3CDTF">2013-05-18T01:21:00Z</dcterms:created>
  <dcterms:modified xsi:type="dcterms:W3CDTF">2014-02-16T02:10:00Z</dcterms:modified>
</cp:coreProperties>
</file>