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MGMOTORSBR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Guilherme Adami Frank¹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Murilo Candido Souza²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Renato Lada Guerreiro³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4"/>
        </w:rPr>
        <w:t>Caroline Domingues Porto do Nascimento Barbieri⁴</w:t>
      </w:r>
    </w:p>
    <w:p>
      <w:pPr>
        <w:spacing w:line="240" w:lineRule="auto" w:after="0"/>
        <w:ind w:left="0" w:right="0"/>
        <w:jc w:val="center"/>
      </w:pPr>
      <w:r>
        <w:rPr>
          <w:rFonts w:ascii="Times New Roman" w:hAnsi="Times New Roman"/>
          <w:b/>
          <w:sz w:val="20"/>
        </w:rPr>
        <w:t>Orientadores: Renato Lada Guerreiro³ e Caroline Domingues Porto do Nascimento Barbieri⁴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b/>
          <w:sz w:val="24"/>
        </w:rPr>
        <w:t>RESUMO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comércio eletrônico brasileiro vem ampliando sua relevância como canal de pesquisa, comparação e negociação. Este trabalho apresenta o desenvolvimento da MGMOTORSBR, plataforma digital de intermediação de veículos construída com HTML5, CSS3, </w:t>
      </w:r>
      <w:r>
        <w:rPr>
          <w:i/>
        </w:rPr>
        <w:t>JavaScript</w:t>
      </w:r>
      <w:r>
        <w:rPr>
          <w:i w:val="0"/>
        </w:rPr>
        <w:t xml:space="preserve"> e PostgreSQL gerenciado pelo Supabase. A solução foi delimitada à divulgação de anúncios, pesquisa e filtragem de veículos, contato entre usuários, notificações persistentes e suporte conversacional por inteligência artificial, sem processamento de pagamento ou transferência de propriedade. O percurso metodológico compreendeu levantamento de referências, modelagem de requisitos e casos de uso, projeto do banco de dados, implementação incremental e testes manuais em contas distintas. Os resultados indicaram funcionamento satisfatório dos principais fluxos de cadastro, pesquisa, filtros avançados, anúncios, edição, categorias, venda, compartilhamento, contato, mensagens, envio de fotos, notificações, moderação e navegação responsiva. A comunicação entre contas e as notificações persistentes foram validadas em produção. As fotos novas do chat utilizam bucket privado e URLs assinadas, com controle de acesso por participante. O </w:t>
      </w:r>
      <w:r>
        <w:rPr>
          <w:i/>
        </w:rPr>
        <w:t>Chatling</w:t>
      </w:r>
      <w:r>
        <w:rPr>
          <w:i w:val="0"/>
        </w:rPr>
        <w:t xml:space="preserve"> foi incorporado como serviço externo, sujeito aos limites do plano Free. O trabalho contribui como protótipo acadêmico funcional e delimita próximos passos de validação de usabilidade, desempenho e proteção de dados.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4"/>
        </w:rPr>
        <w:t xml:space="preserve">Palavras-chave: rastreabilidade de requisitos; </w:t>
      </w:r>
      <w:r>
        <w:rPr>
          <w:rFonts w:ascii="Times New Roman" w:hAnsi="Times New Roman"/>
          <w:i/>
          <w:sz w:val="24"/>
        </w:rPr>
        <w:t>chatbot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i/>
          <w:sz w:val="24"/>
        </w:rPr>
        <w:t>Supabase</w:t>
      </w:r>
      <w:r>
        <w:rPr>
          <w:rFonts w:ascii="Times New Roman" w:hAnsi="Times New Roman"/>
          <w:sz w:val="24"/>
        </w:rPr>
        <w:t>; protótipo funcional; segurança da informação; usabilidade.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————————————</w:t>
      </w:r>
    </w:p>
    <w:p>
      <w:pPr>
        <w:spacing w:before="0" w:after="0" w:line="240" w:lineRule="auto"/>
        <w:ind w:left="0" w:right="0"/>
        <w:jc w:val="center"/>
      </w:pPr>
      <w:r>
        <w:rPr>
          <w:rFonts w:ascii="Times New Roman" w:hAnsi="Times New Roman"/>
          <w:sz w:val="20"/>
        </w:rPr>
        <w:t>¹ guilhermefrankadami@gmail.com</w:t>
        <w:br/>
        <w:t>² candidomurilo809@gmail.com</w:t>
        <w:br/>
        <w:t>³ renato.guerreiro@ifpr.edu.br</w:t>
        <w:br/>
        <w:t>⁴ caroline.barbieri@ifpr.edu.br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avanço das tecnologias digitais transformou as formas de comercialização, pesquisa e comunicação. A Associação Brasileira de Comércio Eletrônico (ABComm) apresenta para 2025 faturamento estimado de R$ 235,5 bilhões, 438,9 milhões de pedidos e 94,2 milhões de compradores (ABCOMM, 2025). Esses dados são gerais para o comércio eletrônico e contextualizam soluções digitais de nicho.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No segmento de veículos seminovos e usados, a FENAUTO registrou 18.508.929 unidades comercializadas no Brasil em 2025, crescimento de 17,3% sobre 2024 (FENAUTO, 2026). O indicador mostra a dimensão do mercado que pode ser apoiada por busca, organização de anúncios e comunicação digital, sem significar que a MGMOTORSBR o represente ou mensure.</w:t>
      </w:r>
    </w:p>
    <w:p>
      <w:pPr>
        <w:spacing w:before="0" w:after="0" w:line="360" w:lineRule="auto"/>
        <w:ind w:left="0" w:right="0" w:firstLine="567"/>
        <w:jc w:val="both"/>
      </w:pPr>
      <w:r>
        <w:t>OLX e Webmotors reúnem anúncios, filtros, informações técnicas e canais de contato, constituindo referências para a comparação funcional (OLX, s. d.; WEBMOTORS, s. d.). A MGMOTORSBR não pretende afirmar superioridade comercial nem realizar avaliação exaustiva de concorrentes.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proposta é um ambiente de intermediação: o usuário consulta anúncios e características, enquanto o contato e a negociação são encaminhados pelos mecanismos da plataforma. Não fazem parte do escopo avaliação mecânica, garantia, financiamento, pagamento ou formalização jurídica.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pergunta de pesquisa é: como desenvolver uma plataforma digital de intermediação de veículos que reúna cadastro de anúncios, busca personalizada e suporte conversacional por inteligência artificial, mantendo rastreabilidade dos requisitos e cuidados básicos de segurança e proteção de dados?</w:t>
      </w:r>
    </w:p>
    <w:p>
      <w:pPr>
        <w:spacing w:before="0" w:after="0" w:line="360" w:lineRule="auto"/>
        <w:ind w:left="0" w:right="0" w:firstLine="567"/>
        <w:jc w:val="both"/>
      </w:pPr>
      <w:r>
        <w:t>O objetivo geral é desenvolver e avaliar um protótipo acadêmico funcional. Os objetivos específicos são implementar cadastro e gerenciamento de anúncios, incluindo edição e marcação como vendido; pesquisa, filtragem e ordenação; gerenciamento administrativo de categorias, compartilhamento e contato pelo site; modelar dados e casos de uso; integrar o assistente conversacional; verificar fluxos por testes; e discutir limites técnicos, metodológicos e éticos.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 FUNDAMENTAÇÃO</w:t>
      </w:r>
    </w:p>
    <w:p>
      <w:pPr>
        <w:spacing w:before="160" w:after="60" w:line="240" w:lineRule="auto"/>
        <w:ind w:left="0" w:right="0" w:firstLine="0"/>
        <w:jc w:val="left"/>
      </w:pPr>
      <w:r>
        <w:rPr>
          <w:i w:val="0"/>
        </w:rPr>
        <w:t xml:space="preserve">2.1 Comércio eletrônico, </w:t>
      </w:r>
      <w:r>
        <w:rPr>
          <w:i/>
        </w:rPr>
        <w:t>marketplace</w:t>
      </w:r>
      <w:r>
        <w:rPr>
          <w:i w:val="0"/>
        </w:rPr>
        <w:t>s e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comércio eletrônico compreende operações de compra, venda, pesquisa, comunicação e prestação de serviços por meios digitais. Em um </w:t>
      </w:r>
      <w:r>
        <w:rPr>
          <w:i/>
        </w:rPr>
        <w:t>marketplace</w:t>
      </w:r>
      <w:r>
        <w:rPr>
          <w:i w:val="0"/>
        </w:rPr>
        <w:t>, a plataforma organiza publicação, descoberta, comparação e contato. Pereira e Pinto (2021) observam que a presença digital pode ampliar alcance e influenciar confiança.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Em anúncios de veículos, marca, modelo, ano, preço, quilometragem, localização e imagens reduzem o custo de pesquisa. Interfaces responsivas e filtros coerentes são requisitos ligados à usabilidade e à adequação funcional.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2.2 Inteligência artificial e chatbots em plataformas digitais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Aplicações de inteligência artificial no comércio eletrônico incluem recomendação, atendimento automatizado, análise de comportamento e personalização (BAWACK et al., 2022). Chatbots interagem por linguagem natural ou fluxos definidos, dependendo da qualidade da base de conhecimento e da transparência sobre limites (ADAMOPOULOU; MOUSSIADES, 2020).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2.3 Sistemas de informação no setor automobilístico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Sistemas automobilísticos organizam características técnicas, preço, localização, fotos, anunciante e interações. A MGMOTORSBR usa arquitetura em que o </w:t>
      </w:r>
      <w:r>
        <w:rPr>
          <w:i/>
        </w:rPr>
        <w:t>front-end</w:t>
      </w:r>
      <w:r>
        <w:rPr>
          <w:i w:val="0"/>
        </w:rPr>
        <w:t xml:space="preserve"> apresenta e valida dados, o Supabase fornece persistência, autenticação e armazenamento, e o serviço de IA acrescenta interação nos fluxos priorizados. Essa separação permite discutir qualidade segundo a ISO/IEC 25010 (ISO, 2023).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</w:t>
      </w:r>
      <w:r>
        <w:rPr>
          <w:i/>
        </w:rPr>
        <w:t>Chatling</w:t>
      </w:r>
      <w:r>
        <w:rPr>
          <w:i w:val="0"/>
        </w:rPr>
        <w:t xml:space="preserve"> foi incorporado ao </w:t>
      </w:r>
      <w:r>
        <w:rPr>
          <w:i/>
        </w:rPr>
        <w:t>front-end</w:t>
      </w:r>
      <w:r>
        <w:rPr>
          <w:i w:val="0"/>
        </w:rPr>
        <w:t xml:space="preserve"> por meio do script </w:t>
      </w:r>
      <w:r>
        <w:rPr>
          <w:i/>
        </w:rPr>
        <w:t>JavaScript</w:t>
      </w:r>
      <w:r>
        <w:rPr>
          <w:i w:val="0"/>
        </w:rPr>
        <w:t xml:space="preserve"> fornecido pelo serviço, com o identificador 6944231868. A integração utiliza o plano Free, que disponibiliza 200 créditos de IA por mês, um agente, um assento, 500.000 caracteres na base de conhecimento e 25 créditos de e-mail por mês. O plano também limita a dois AI Actions por agente, um workflow por agente, </w:t>
      </w:r>
      <w:r>
        <w:rPr>
          <w:i/>
        </w:rPr>
        <w:t>upload</w:t>
      </w:r>
      <w:r>
        <w:rPr>
          <w:i w:val="0"/>
        </w:rPr>
        <w:t xml:space="preserve"> individual de arquivo a 1 MB e mantém personalização limitada e a marca “Powered by </w:t>
      </w:r>
      <w:r>
        <w:rPr>
          <w:i/>
        </w:rPr>
        <w:t>Chatling</w:t>
      </w:r>
      <w:r>
        <w:rPr>
          <w:i w:val="0"/>
        </w:rPr>
        <w:t>”. Os créditos são mensais e o consumo varia conforme o modelo de IA. A versão específica da interface e a configuração detalhada do agente ainda dependem do painel do provedor. Os limites do plano foram conferidos na página oficial de preços (</w:t>
      </w:r>
      <w:r>
        <w:rPr>
          <w:i/>
        </w:rPr>
        <w:t>CHATLING</w:t>
      </w:r>
      <w:r>
        <w:rPr>
          <w:i w:val="0"/>
        </w:rPr>
        <w:t>, 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2.4 Requisitos, desenvolvimento incremental e qualidade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ISO/IEC/IEEE 29148 recomenda requisitos claros, verificáveis e rastreáveis (IEEE, 2018). A ligação entre casos de uso, requisitos, implementação e testes organiza a metodologia. A implementação incremental permitiu desenvolver, testar e ajustar módulos em etapas.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2.5 Aspectos éticos e proteção de dados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MGMOTORSBR trata dados de cadastro, contato, anúncios, mensagens e imagens. A LGPD exige transparência sobre finalidades, bases legais, canais, retenção e direitos dos titulares (BRASIL, 2018). O protótipo adota autenticação, controle de acesso, políticas de </w:t>
      </w:r>
      <w:r>
        <w:rPr>
          <w:i/>
        </w:rPr>
        <w:t>Row Level Security</w:t>
      </w:r>
      <w:r>
        <w:rPr>
          <w:i w:val="0"/>
        </w:rPr>
        <w:t xml:space="preserve"> (RLS) e validação, mas não afirma conformidade jurídica integral.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2.6 Trabalhos relacionados e posicionamento da MGMOTORSBR</w:t>
      </w:r>
    </w:p>
    <w:p>
      <w:pPr>
        <w:spacing w:before="0" w:after="0" w:line="360" w:lineRule="auto"/>
        <w:ind w:left="0" w:right="0" w:firstLine="567"/>
        <w:jc w:val="both"/>
      </w:pPr>
      <w:r>
        <w:t>A literatura discute comércio eletrônico, inteligência artificial, responsabilidade de plataformas e chatbots. Carvalho Sobrinho e Oliveira Filho (2025) ressaltam responsabilidades da intermediação digital. OLX Autos, Webmotors e Mobiauto foram observadas como referências públicas (OLX, s. d.; WEBMOTORS, s. d.; MOBIAUTO, s. d.). A MGMOTORSBR é posicionada como protótipo acadêmico aplicado, com combinação de anúncios, filtros, comunicação, moderação e apoio conversacional em pequena escala.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3 – Comparação funcional entre plataformas de referência e o protótipo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2351"/>
        <w:gridCol w:w="2351"/>
        <w:gridCol w:w="2351"/>
        <w:gridCol w:w="2351"/>
      </w:tblGrid>
      <w:tr>
        <w:trPr>
          <w:cantSplit/>
          <w:tblHeader w:val="true"/>
        </w:trPr>
        <w:tc>
          <w:tcPr>
            <w:tcW w:type="dxa" w:w="33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Dimensão funcional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OLX Autos</w:t>
            </w:r>
          </w:p>
        </w:tc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Webmotors</w:t>
            </w:r>
          </w:p>
        </w:tc>
        <w:tc>
          <w:tcPr>
            <w:tcW w:type="dxa" w:w="26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MGMOTORSBR (protótipo)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Anúncios de veículos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(RF06 – UC08, UC10–UC11)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 por texto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UC04)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(marca, modelo, ano, preço, localização)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(RF02 – UC04,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Filtros estendidos (combustível, câmbio, cor, quilometragem)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(RF02 – UC04, UC22)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Ordenação de resultados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(RF02 – UC22)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Categorias de veículos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Visualização de detalhes do anúncio (fotos, especificações)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do anunciante na página do anúncio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(RF03 – UC05)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com o vendedor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Contato por WhatsApp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 interna entre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(RF05 – UC07)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Formulário de contato com 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(RF16 – UC25)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(RF04 – UC06)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Perfil público do vendedor com anúncios ativos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(RF13 – UC19)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 e autenticação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UC01–UC03)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Recuperação de senha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UC03)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perfil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(RF01 – UC17, UC18)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(RF07 – UC20)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Denúncias de anúncios irregulares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(RF08 – UC12)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 de anúncios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(RF10 – UC14)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Administração de usuários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(RF09 – UC13)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Gerenciamento de categorias pela plataforma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(RF11 – UC15)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 com estatísticas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confirmado na análise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Parcial (RF12 – UC16)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Notificações ao usuário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Implementado; aceite manual PASS (RF14 – UC21)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Compartilhamento de anúncios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</w:t>
            </w:r>
          </w:p>
        </w:tc>
        <w:tc>
          <w:tcPr>
            <w:tcW w:type="dxa" w:w="266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Sim (RF15 – UC24)</w:t>
            </w:r>
          </w:p>
        </w:tc>
      </w:tr>
      <w:tr>
        <w:trPr>
          <w:cantSplit/>
        </w:trPr>
        <w:tc>
          <w:tcPr>
            <w:tcW w:type="dxa" w:w="33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Assistente conversacional com IA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Não identificado</w:t>
            </w:r>
          </w:p>
        </w:tc>
        <w:tc>
          <w:tcPr>
            <w:tcW w:type="dxa" w:w="266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 (Chatling)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 PERCURSO METODOLÓGICO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A pesquisa é aplicada, descritiva e exploratória, com desenvolvimento de protótipo funcional. O procedimento compreendeu referências, requisitos, casos de uso, banco de dados, implementação incremental e testes manuais. A unidade de análise é a MGMOTORSBR, observada segundo cobertura, funcionamento e condições previstas.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3.1 Período, local e equipe</w:t>
      </w:r>
    </w:p>
    <w:p>
      <w:pPr>
        <w:spacing w:before="0" w:after="0" w:line="360" w:lineRule="auto"/>
        <w:ind w:left="0" w:right="0" w:firstLine="567"/>
        <w:jc w:val="both"/>
      </w:pPr>
      <w:r>
        <w:t>O projeto foi desenvolvido no Instituto Federal do Paraná, Centro de Referência IFPR-Biopark, por estudantes autores e professores orientadores, entre fevereiro de 2025 e agosto de 2026, em atividades presenciais e remotas. O documento não registra interrupções ou marcos curriculares específicos; essa ausência é uma limitação do registro metodológico.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3.2 Tecnologias, ambiente e ferramentas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>O front-end utiliza HTML5, CSS3 e JavaScript sem framework. O Supabase Free fornece PostgreSQL, autenticação, Storage e endpoints; o cliente é @supabase/supabase-js 2.117.3. As fotos novas das conversas são armazenadas no bucket privado FOTOS-MENSAGENS e acessadas por URLs assinadas, enquanto as fotos antigas permanecem compatíveis. O ambiente de desenvolvimento utilizou Node.js 26.12.0, Visual Studio Code 1.143.1 e Supabase CLI 2.117.0. A consulta de versão executada no SQL Editor confirmou PostgreSQL 17.6 em arquitetura aarch64. As extensões relevantes registradas foram Live Server 5.7.10 e GitHub Pull Requests 0.172.0; as demais extensões do ambiente não são necessárias para executar a aplicação. Git e GitHub foram usados para versionamento e o site está publicado no Vercel, no endereço oficial https://mgmotorss.vercel.app/MG-INICIO/inicio.html. Repositório: https://github.com/murilotecoteco/MGMOTORSBR. O README informa que nenhuma licença foi aplicada ao projeto educacional.</w:t>
      </w:r>
      <w:r>
        <w:rPr>
          <w:i/>
        </w:rPr>
      </w:r>
      <w:r>
        <w:rPr>
          <w:i w:val="0"/>
        </w:rPr>
      </w:r>
      <w:r>
        <w:rPr>
          <w:i/>
        </w:rPr>
      </w:r>
      <w:r>
        <w:rPr>
          <w:i w:val="0"/>
        </w:rPr>
      </w:r>
      <w:r>
        <w:rPr>
          <w:i/>
        </w:rPr>
      </w:r>
      <w:r>
        <w:rPr>
          <w:i w:val="0"/>
        </w:rPr>
      </w:r>
      <w:r>
        <w:rPr>
          <w:i/>
        </w:rPr>
      </w:r>
      <w:r>
        <w:rPr>
          <w:i w:val="0"/>
        </w:rPr>
      </w:r>
    </w:p>
    <w:p>
      <w:pPr>
        <w:spacing w:before="0" w:after="0" w:line="360" w:lineRule="auto"/>
        <w:ind w:left="0" w:right="0" w:firstLine="567"/>
        <w:jc w:val="both"/>
      </w:pPr>
      <w:r>
        <w:t>Nos testes e no desenvolvimento foram utilizados Arch Linux e Windows. A validação final registrada pelos autores foi realizada em Chromium 156.0.8078.47 e Firefox 158.0.1 sobre Arch Linux, além de testes nos dispositivos Redmi 13C (1600 × 720) e Samsung A35 (1080 × 2340). Foram confirmados login, logout, filtros avançados, edição, categorias, venda, compartilhamento, formulário de contato, mensagens entre duas contas, envio e recebimento de fotos, mensagens não lidas, notificações persistentes, atualização das conversas e funcionamento responsivo. Durante a revisão visual, a navbar móvel apresentou sobreposição entre menu e ícones; o CSS global foi ajustado para manter os ícones na mesma linha e abrir o menu em uma segunda linha, sem cobrir o conteúdo.</w:t>
      </w:r>
    </w:p>
    <w:p>
      <w:pPr>
        <w:spacing w:before="40" w:after="20" w:line="240" w:lineRule="auto"/>
        <w:jc w:val="center"/>
      </w:pPr>
      <w:r>
        <w:drawing>
          <wp:inline>
            <wp:extent cx="5623560" cy="3749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1 – Arquitetura tecnológica da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3.3 Levantamento e modelagem de requisitos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 levantamento observou OLX, Webmotors e Mobiauto, registrando funcionalidades, organização de interfaces e requisitos. A comparação detalhada está na seção 2.6. A modelagem resultou em 25 casos de uso distribuídos entre Visitante, Usuário, Vendedor e Administrador.</w:t>
      </w:r>
      <w:r>
        <w:t xml:space="preserve"> A Figura 2 apresenta o diagrama de casos de uso, com os atores e as principais interações previstas na plataforma.</w:t>
      </w:r>
    </w:p>
    <w:p>
      <w:pPr>
        <w:pageBreakBefore/>
        <w:spacing w:before="80" w:after="40"/>
        <w:ind w:firstLine="0"/>
        <w:jc w:val="center"/>
      </w:pPr>
      <w:r>
        <w:drawing>
          <wp:inline>
            <wp:extent cx="5580000" cy="5740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_mgmotorsb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740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Figura 2 – Diagrama de casos de uso da plataforma MGMOTORSBR.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1 – Resumo dos casos de uso do sistema MGMOTORSBR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29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1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Caso de uso</w:t>
            </w:r>
          </w:p>
        </w:tc>
        <w:tc>
          <w:tcPr>
            <w:tcW w:type="dxa" w:w="252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Ator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Cadastrar usuário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Realizar login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Recuperar senha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veículo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Favoritar veículo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Editar anúncio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Excluir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meus anúncios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Painel administrativo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UC17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perfil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UC18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Alterar senha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do vendedor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Vendedor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UC22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Filtrar e ordenar veículos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UC23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Sair da conta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Usuário</w:t>
            </w:r>
          </w:p>
        </w:tc>
      </w:tr>
      <w:tr>
        <w:trPr>
          <w:cantSplit/>
        </w:trPr>
        <w:tc>
          <w:tcPr>
            <w:tcW w:type="dxa" w:w="129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  <w:tc>
          <w:tcPr>
            <w:tcW w:type="dxa" w:w="51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</w:t>
            </w:r>
          </w:p>
        </w:tc>
        <w:tc>
          <w:tcPr>
            <w:tcW w:type="dxa" w:w="252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  <w:tc>
          <w:tcPr>
            <w:tcW w:type="dxa" w:w="51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pelo formulário de contato</w:t>
            </w:r>
          </w:p>
        </w:tc>
        <w:tc>
          <w:tcPr>
            <w:tcW w:type="dxa" w:w="252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Visitante/Usuário</w:t>
            </w:r>
          </w:p>
        </w:tc>
      </w:tr>
    </w:tbl>
    <w:p>
      <w:pPr>
        <w:spacing w:line="240" w:lineRule="auto" w:before="40" w:after="40"/>
        <w:ind w:firstLine="0"/>
        <w:jc w:val="center"/>
      </w:pPr>
      <w:r>
        <w:rPr>
          <w:rFonts w:ascii="Times New Roman" w:hAnsi="Times New Roman"/>
          <w:b w:val="0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3.4 Requisitos funcionais e rastreabilidade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funcionais foram consolidados a partir dos casos de uso. O Quadro 2 relaciona requisito, funcionalidade e caso de uso; responsividade, validação, acesso e segurança são detalhados na seção 3.7.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2 – Requisitos funcionais e casos de uso relacionados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44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54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funcional</w:t>
            </w:r>
          </w:p>
        </w:tc>
        <w:tc>
          <w:tcPr>
            <w:tcW w:type="dxa" w:w="208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UCs relacionadas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contas de usuário: cadastro, login, recuperação, perfil, senha e logout.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UC01–UC03, UC17, UC18, UC23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Pesquisar, filtrar e ordenar veículos por marca, modelo, ano, preço, quilometragem, combustível, câmbio, cor e localização.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UC04, UC22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detalhes do anúncio, incluindo fotos, especificações e dados do vendedor.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Salvar e gerenciar veículos favoritos.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Entrar em contato com o vendedor por WhatsApp ou mensagem interna.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UC07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Publicar, editar, excluir e gerenciar anúncios com upload de fotos.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UC08–UC11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RF07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Marcar veículo como vendido e removê-lo da listagem pública.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UC20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RF08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Denunciar anúncios irregulares com indicação do motivo.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RF09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Administrar usuários: pesquisar, editar, suspender e reativar contas.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UC13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RF10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Moderar anúncios e registrar justificativa para aprovação ou rejeição.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UC14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RF11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Gerenciar categorias de marcas e modelos.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UC15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RF12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Exibir painel administrativo com estatísticas e relatórios.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UC16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RF13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Visualizar perfil público do vendedor e seus anúncios ativos.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UC19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RF14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Receber notificações sobre contatos, aprovações e mudanças de status.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RF15</w:t>
            </w:r>
          </w:p>
        </w:tc>
        <w:tc>
          <w:tcPr>
            <w:tcW w:type="dxa" w:w="54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Compartilhar anúncios por WhatsApp, Facebook ou link direto.</w:t>
            </w:r>
          </w:p>
        </w:tc>
        <w:tc>
          <w:tcPr>
            <w:tcW w:type="dxa" w:w="208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UC24</w:t>
            </w:r>
          </w:p>
        </w:tc>
      </w:tr>
      <w:tr>
        <w:trPr>
          <w:cantSplit/>
        </w:trPr>
        <w:tc>
          <w:tcPr>
            <w:tcW w:type="dxa" w:w="144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RF16</w:t>
            </w:r>
          </w:p>
        </w:tc>
        <w:tc>
          <w:tcPr>
            <w:tcW w:type="dxa" w:w="54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Enviar mensagem à equipe MGMOTORSBR por formulário de contato.</w:t>
            </w:r>
          </w:p>
        </w:tc>
        <w:tc>
          <w:tcPr>
            <w:tcW w:type="dxa" w:w="208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UC25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3.5 Modelagem do banco de dados e dicionário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schema em supabase/migrations apresenta como entidades centrais usuarios, anuncios, marcas, modelos, versoes, fotos_anuncio, favoritos, curtidas_anuncio, mensagens, notificacoes, conversas, denuncias, seguidores e config_usuario. A descrição foi corrigida para refletir o schema atual. Chaves e políticas de </w:t>
      </w:r>
      <w:r>
        <w:rPr>
          <w:i/>
        </w:rPr>
        <w:t>Row Level Security</w:t>
      </w:r>
      <w:r>
        <w:rPr>
          <w:i w:val="0"/>
        </w:rPr>
        <w:t xml:space="preserve"> organizam integridade e acesso. As imagens de anúncios e as imagens privadas de conversas possuem tratamentos distintos no Supabase </w:t>
      </w:r>
      <w:r>
        <w:rPr>
          <w:i/>
        </w:rPr>
        <w:t>Storage</w:t>
      </w:r>
      <w:r>
        <w:rPr>
          <w:i w:val="0"/>
        </w:rPr>
        <w:t>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class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3 – Diagrama de classes simplificado dos principais objetos de domínio.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Figura 2 mostra responsabilidades; a Figura 3 explicita entidades persistidas, chaves e cardinalidades. Imagens são armazenadas no Supabase </w:t>
      </w:r>
      <w:r>
        <w:rPr>
          <w:i/>
        </w:rPr>
        <w:t>Storage</w:t>
      </w:r>
      <w:r>
        <w:rPr>
          <w:i w:val="0"/>
        </w:rPr>
        <w:t xml:space="preserve"> e associadas a fotos_anuncio.</w:t>
      </w:r>
    </w:p>
    <w:p>
      <w:pPr>
        <w:spacing w:before="40" w:after="20" w:line="240" w:lineRule="auto"/>
        <w:jc w:val="center"/>
      </w:pPr>
      <w:r>
        <w:drawing>
          <wp:inline>
            <wp:extent cx="5623560" cy="35928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92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4 – Modelo entidade-relacionamento simplificado das principais tabelas.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4 – Dicionário de dados das principais tabelas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 w:val="true"/>
        </w:trPr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Tabela</w:t>
            </w:r>
          </w:p>
        </w:tc>
        <w:tc>
          <w:tcPr>
            <w:tcW w:type="dxa" w:w="187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223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Restrição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Finalidade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PK/Auth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usuário.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nome; email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RLS no perfil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Cadastro.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moderador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 false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Acesso administrativo.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Identifica anúncio.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Vincula anunciante.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marca_id; modelo_id; versao_id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FK/opcionais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Classifica veículo.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preco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numeric(12,2)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Preço.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ano_fabricacao; ano_modelo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Anos.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quilometragem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NULL; &gt;=0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cidade; estado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char(2)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NULL/UF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Localização.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status_moderacao; pausado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boolean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Publicação.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 e vínculo.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fotos_anuncio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url_foto; ordem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text; integer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NULL/default 0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Exibição.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PK/default UUID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Mensagem.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remetente_id; destinatario_id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FK/NOT NULL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Participantes.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anuncio_id; texto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texto obrigatório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Conversa.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id; denunciante_id; alvo_id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PK/FK/alvo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Moderação.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denuncias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motivo; status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text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NOT NULL/domínio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Tratamento.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favoritos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PK composta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Evita duplicidade.</w:t>
            </w:r>
          </w:p>
        </w:tc>
      </w:tr>
      <w:tr>
        <w:trPr>
          <w:cantSplit/>
        </w:trPr>
        <w:tc>
          <w:tcPr>
            <w:tcW w:type="dxa" w:w="151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curtidas_anuncio</w:t>
            </w:r>
          </w:p>
        </w:tc>
        <w:tc>
          <w:tcPr>
            <w:tcW w:type="dxa" w:w="187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anuncio_id</w:t>
            </w:r>
          </w:p>
        </w:tc>
        <w:tc>
          <w:tcPr>
            <w:tcW w:type="dxa" w:w="1584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</w:t>
            </w:r>
          </w:p>
        </w:tc>
        <w:tc>
          <w:tcPr>
            <w:tcW w:type="dxa" w:w="223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 composta</w:t>
            </w:r>
          </w:p>
        </w:tc>
        <w:tc>
          <w:tcPr>
            <w:tcW w:type="dxa" w:w="17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Curtida única.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config_usuario</w:t>
            </w:r>
          </w:p>
        </w:tc>
        <w:tc>
          <w:tcPr>
            <w:tcW w:type="dxa" w:w="187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usuario_id; tema</w:t>
            </w:r>
          </w:p>
        </w:tc>
        <w:tc>
          <w:tcPr>
            <w:tcW w:type="dxa" w:w="1584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uuid; text</w:t>
            </w:r>
          </w:p>
        </w:tc>
        <w:tc>
          <w:tcPr>
            <w:tcW w:type="dxa" w:w="223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UNIQUE/defaults</w:t>
            </w:r>
          </w:p>
        </w:tc>
        <w:tc>
          <w:tcPr>
            <w:tcW w:type="dxa" w:w="17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Preferências.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3.6 Desenvolvimento e integração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implementação priorizou autenticação, anúncios, busca com filtros avançados, edição, gerenciamento administrativo, marcação de venda, compartilhamento, contato e comunicação. Os módulos priorizados foram implementados, verificados e refinados conforme o escopo efetivamente disponível. A integração com o </w:t>
      </w:r>
      <w:r>
        <w:rPr>
          <w:i/>
        </w:rPr>
        <w:t>Chatling</w:t>
      </w:r>
      <w:r>
        <w:rPr>
          <w:i w:val="0"/>
        </w:rPr>
        <w:t xml:space="preserve"> foi realizada no </w:t>
      </w:r>
      <w:r>
        <w:rPr>
          <w:i/>
        </w:rPr>
        <w:t>front-end</w:t>
      </w:r>
      <w:r>
        <w:rPr>
          <w:i w:val="0"/>
        </w:rPr>
        <w:t xml:space="preserve"> por meio do script </w:t>
      </w:r>
      <w:r>
        <w:rPr>
          <w:i/>
        </w:rPr>
        <w:t>JavaScript</w:t>
      </w:r>
      <w:r>
        <w:rPr>
          <w:i w:val="0"/>
        </w:rPr>
        <w:t xml:space="preserve"> do serviço. Os fluxos de comunicação utilizam mensagens persistentes, notificações persistentes e bucket privado para novas fotos, com URL assinada para participantes autorizados.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3.7 Requisitos não funcionais e critérios de verificação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rFonts w:ascii="Times New Roman" w:hAnsi="Times New Roman"/>
          <w:sz w:val="24"/>
        </w:rPr>
        <w:t>Os requisitos não funcionais foram classificados segundo a ISO/IEC 25010: adequação funcional, eficiência, compatibilidade, usabilidade, confiabilidade, segurança, manutenibilidade e portabilidade. A classificação organiza critérios verificáveis, sem representar certificação.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5 – Requisitos não funcionais classificados pela ISO/IEC 25010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3135"/>
        <w:gridCol w:w="3135"/>
        <w:gridCol w:w="3135"/>
      </w:tblGrid>
      <w:tr>
        <w:trPr>
          <w:cantSplit/>
          <w:tblHeader w:val="true"/>
        </w:trPr>
        <w:tc>
          <w:tcPr>
            <w:tcW w:type="dxa" w:w="18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Código / ISO 25010</w:t>
            </w:r>
          </w:p>
        </w:tc>
        <w:tc>
          <w:tcPr>
            <w:tcW w:type="dxa" w:w="35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Requisito não funcional</w:t>
            </w:r>
          </w:p>
        </w:tc>
        <w:tc>
          <w:tcPr>
            <w:tcW w:type="dxa" w:w="3600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Critério de verificação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RNF01 / Usabilidade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Mensagens devem orientar cadastro, login e formulários.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Entradas válidas/ inválidas e clareza.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RNF02 / Usabilidade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Telas devem manter navegação coerente.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Percorrer início, marketplace, conta, mensagens e painel.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RNF03 / Portabilidade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Interface deve adaptar-se a desktop e mobile.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Breakpoints 1024/768/480 px com dispositivo e resolução.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RNF04 / Segurança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Operações devem respeitar autenticação, perfil e RLS.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Testar anônimo, usuário e moderador.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RNF05 / Segurança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Credenciais privadas não devem aparecer no código.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Inspecionar repositório e variáveis.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RNF06 / Confiabilidade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Erros devem gerar feedback sem corromper dados.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Simular erro e verificar retentativa.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RNF07 / Manutenibilidade</w:t>
            </w:r>
          </w:p>
        </w:tc>
        <w:tc>
          <w:tcPr>
            <w:tcW w:type="dxa" w:w="352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Requisitos, módulos, migrations e UC devem ser rastreáveis.</w:t>
            </w:r>
          </w:p>
        </w:tc>
        <w:tc>
          <w:tcPr>
            <w:tcW w:type="dxa" w:w="3600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Relacionar RF, UC, arquivo e teste.</w:t>
            </w:r>
          </w:p>
        </w:tc>
      </w:tr>
      <w:tr>
        <w:trPr>
          <w:cantSplit/>
        </w:trPr>
        <w:tc>
          <w:tcPr>
            <w:tcW w:type="dxa" w:w="18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RNF08 / Segurança (privacidade)</w:t>
            </w:r>
          </w:p>
        </w:tc>
        <w:tc>
          <w:tcPr>
            <w:tcW w:type="dxa" w:w="3528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Dados pessoais e dados enviados ao Chatling devem ter finalidade e exposição limitadas.</w:t>
            </w:r>
          </w:p>
        </w:tc>
        <w:tc>
          <w:tcPr>
            <w:tcW w:type="dxa" w:w="3600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Verificar aviso de privacidade, minimização de dados e dependências externas.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3.8 Protocolo de testes</w:t>
      </w:r>
    </w:p>
    <w:p>
      <w:pPr>
        <w:spacing w:before="0" w:after="0" w:line="360" w:lineRule="auto"/>
        <w:ind w:left="0" w:right="0" w:firstLine="567"/>
        <w:jc w:val="both"/>
      </w:pPr>
      <w:r>
        <w:t>O protocolo combinou testes funcionais manuais, verificação de responsividade e validações automatizadas de contraste e estrutura. Foram considerados 17 cenários agregados no Quadro 6, executados pela equipe de desenvolvimento em 25 de outubro de 2026, com duas contas de teste, anúncios e fotos do ambiente de produção. Os navegadores registrados foram Chromium 156.0.8078.47 e Firefox 158.0.1 em Arch Linux, com verificações nos dispositivos Redmi 13C (1600 × 720) e Samsung A35 (1080 × 2340). Durante a revisão, a navbar foi ajustada para manter os ícones alinhados e o menu em uma segunda linha; o teste visual após o novo deploy deve ser repetido. Cada cenário foi descrito por entrada, resultado esperado, resultado observado e status.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Quadro 6 reúne os cenários agregados para evitar repetição entre navegadores. A evidência de aceite do </w:t>
      </w:r>
      <w:r>
        <w:rPr>
          <w:i/>
        </w:rPr>
        <w:t>marketplace</w:t>
      </w:r>
      <w:r>
        <w:rPr>
          <w:i w:val="0"/>
        </w:rPr>
        <w:t xml:space="preserve"> registra os fluxos UC09, UC15, UC20, UC24 e UC25; o roteiro de mensagens registra o envio e recebimento de textos e fotos, notificações persistentes, login, logout e responsividade.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4702"/>
        <w:gridCol w:w="4702"/>
      </w:tblGrid>
      <w:tr>
        <w:trPr>
          <w:cantSplit/>
          <w:tblHeader w:val="true"/>
        </w:trPr>
        <w:tc>
          <w:tcPr>
            <w:tcW w:type="dxa" w:w="2376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Campo de auditoria</w:t>
            </w:r>
          </w:p>
        </w:tc>
        <w:tc>
          <w:tcPr>
            <w:tcW w:type="dxa" w:w="655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Registro disponível / ação necessária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Executor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Equipe de desenvolvimento; nomes individuais não registrados no aceite.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Data e horário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25 out. 2026; horário não registrado.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Quantidade de casos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17 cenários agregados no Quadro 6; número de repetições não registrado.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Dados utilizados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Duas contas de teste, anúncios e fotos usados no ambiente de produção; natureza detalhada dos dados não registrada.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Navegadores/versões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Chromium 156.0.8078.47 e Firefox 158.0.1; versões confirmadas no Arch Linux.</w:t>
            </w:r>
          </w:p>
        </w:tc>
      </w:tr>
      <w:tr>
        <w:trPr>
          <w:cantSplit/>
        </w:trPr>
        <w:tc>
          <w:tcPr>
            <w:tcW w:type="dxa" w:w="2376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Sistema operacional</w:t>
            </w:r>
          </w:p>
        </w:tc>
        <w:tc>
          <w:tcPr>
            <w:tcW w:type="dxa" w:w="6552"/>
            <w:shd w:fill="F3F6FA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Arch Linux na validação final; Windows aparece no histórico de desenvolvimento, sem versão registrada.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17"/>
              </w:rPr>
            </w:r>
            <w:r>
              <w:rPr>
                <w:rFonts w:ascii="Times New Roman" w:hAnsi="Times New Roman"/>
                <w:b w:val="0"/>
                <w:sz w:val="17"/>
              </w:rPr>
              <w:t>Resoluções/dispositivos</w:t>
            </w:r>
          </w:p>
        </w:tc>
        <w:tc>
          <w:tcPr>
            <w:tcW w:type="dxa" w:w="6552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r>
              <w:t>Desktop e celular; modelos e resoluções exatos não registrados.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3.9 Limitações metodológicas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As limitações incluem testes predominantemente manuais, ausência de métricas quantitativas de desempenho e usabilidade, ausência de participantes externos e dependência de serviço de terceiro. A validação funcional realizada não equivale a uma auditoria jurídica ou a uma certificação de conformidade com a LGPD. O </w:t>
      </w:r>
      <w:r>
        <w:rPr>
          <w:i/>
        </w:rPr>
        <w:t>Chatling</w:t>
      </w:r>
      <w:r>
        <w:rPr>
          <w:i w:val="0"/>
        </w:rPr>
        <w:t xml:space="preserve"> continua sujeito à configuração e aos limites do provedor, e estudos futuros devem ampliar a amostra de usuários e medir tempo de resposta, carga e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 RESULTADOS E DISCUSSÃO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4.1 Cobertura funcional e resultados dos testes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modelagem definiu 25 casos de uso e 16 requisitos funcionais relacionados. Os 17 cenários agregados do Quadro 6 confirmaram os fluxos principais de autenticação, </w:t>
      </w:r>
      <w:r>
        <w:rPr>
          <w:i/>
        </w:rPr>
        <w:t>marketplace</w:t>
      </w:r>
      <w:r>
        <w:rPr>
          <w:i w:val="0"/>
        </w:rPr>
        <w:t>, filtros avançados, edição, categorias, venda, compartilhamento, formulário de contato, comunicação entre contas, envio de fotos, mensagens não lidas, notificações persistentes e responsividade. Os resultados correspondem ao ambiente de produção validado em 25 de outubro de 2026.</w:t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Quadro 6 – Protocolo e resultados dos testes funcionais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AB7C4"/>
          <w:left w:val="single" w:sz="4" w:space="0" w:color="AAB7C4"/>
          <w:bottom w:val="single" w:sz="4" w:space="0" w:color="AAB7C4"/>
          <w:right w:val="single" w:sz="4" w:space="0" w:color="AAB7C4"/>
          <w:insideH w:val="single" w:sz="4" w:space="0" w:color="AAB7C4"/>
          <w:insideV w:val="single" w:sz="4" w:space="0" w:color="AAB7C4"/>
        </w:tblBorders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cantSplit/>
          <w:tblHeader w:val="true"/>
        </w:trPr>
        <w:tc>
          <w:tcPr>
            <w:tcW w:type="dxa" w:w="979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UC/Módulo</w:t>
            </w:r>
          </w:p>
        </w:tc>
        <w:tc>
          <w:tcPr>
            <w:tcW w:type="dxa" w:w="158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Cenário</w:t>
            </w:r>
          </w:p>
        </w:tc>
        <w:tc>
          <w:tcPr>
            <w:tcW w:type="dxa" w:w="1512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Entrada</w:t>
            </w:r>
          </w:p>
        </w:tc>
        <w:tc>
          <w:tcPr>
            <w:tcW w:type="dxa" w:w="1728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Esperado</w:t>
            </w:r>
          </w:p>
        </w:tc>
        <w:tc>
          <w:tcPr>
            <w:tcW w:type="dxa" w:w="2261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Obtido</w:t>
            </w:r>
          </w:p>
        </w:tc>
        <w:tc>
          <w:tcPr>
            <w:tcW w:type="dxa" w:w="864"/>
            <w:shd w:fill="1F4E78"/>
            <w:vAlign w:val="center"/>
            <w:tcMar>
              <w:top w:w="40" w:type="dxa"/>
              <w:start w:w="60" w:type="dxa"/>
              <w:bottom w:w="40" w:type="dxa"/>
              <w:end w:w="60" w:type="dxa"/>
            </w:tcMar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</w:r>
            <w:r>
              <w:rPr>
                <w:rFonts w:ascii="Times New Roman" w:hAnsi="Times New Roman"/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567"/>
          </w:tcPr>
          <w:p>
            <w:r>
              <w:t>UC01–UC03</w:t>
            </w:r>
          </w:p>
        </w:tc>
        <w:tc>
          <w:tcPr>
            <w:tcW w:type="dxa" w:w="1567"/>
          </w:tcPr>
          <w:p>
            <w:r>
              <w:t>Cadastro/login/recuperação</w:t>
            </w:r>
          </w:p>
        </w:tc>
        <w:tc>
          <w:tcPr>
            <w:tcW w:type="dxa" w:w="1567"/>
          </w:tcPr>
          <w:p>
            <w:r>
              <w:t>Dados e credenciais.</w:t>
            </w:r>
          </w:p>
        </w:tc>
        <w:tc>
          <w:tcPr>
            <w:tcW w:type="dxa" w:w="1567"/>
          </w:tcPr>
          <w:p>
            <w:r>
              <w:t>Criar, acessar e recuperar.</w:t>
            </w:r>
          </w:p>
        </w:tc>
        <w:tc>
          <w:tcPr>
            <w:tcW w:type="dxa" w:w="1567"/>
          </w:tcPr>
          <w:p>
            <w:r>
              <w:t>Fluxos concluídos.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UC04/UC22</w:t>
            </w:r>
          </w:p>
        </w:tc>
        <w:tc>
          <w:tcPr>
            <w:tcW w:type="dxa" w:w="1567"/>
          </w:tcPr>
          <w:p>
            <w:r>
              <w:t>Pesquisa/filtros/ordenação</w:t>
            </w:r>
          </w:p>
        </w:tc>
        <w:tc>
          <w:tcPr>
            <w:tcW w:type="dxa" w:w="1567"/>
          </w:tcPr>
          <w:p>
            <w:r>
              <w:t>Filtros de tipo, marca, modelo, preço, estado, ano, quilometragem, combustível, câmbio e cor; ordenação e paginação.</w:t>
            </w:r>
          </w:p>
        </w:tc>
        <w:tc>
          <w:tcPr>
            <w:tcW w:type="dxa" w:w="1567"/>
          </w:tcPr>
          <w:p>
            <w:r>
              <w:t>Resultados retornam conforme os critérios combinados.</w:t>
            </w:r>
          </w:p>
        </w:tc>
        <w:tc>
          <w:tcPr>
            <w:tcW w:type="dxa" w:w="1567"/>
          </w:tcPr>
          <w:p>
            <w:r>
              <w:t>Filtros avançados e ordenação concluídos;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UC05</w:t>
            </w:r>
          </w:p>
        </w:tc>
        <w:tc>
          <w:tcPr>
            <w:tcW w:type="dxa" w:w="1567"/>
          </w:tcPr>
          <w:p>
            <w:r>
              <w:t>Detalhes do anúncio</w:t>
            </w:r>
          </w:p>
        </w:tc>
        <w:tc>
          <w:tcPr>
            <w:tcW w:type="dxa" w:w="1567"/>
          </w:tcPr>
          <w:p>
            <w:r>
              <w:t>Acesso a um anúncio.</w:t>
            </w:r>
          </w:p>
        </w:tc>
        <w:tc>
          <w:tcPr>
            <w:tcW w:type="dxa" w:w="1567"/>
          </w:tcPr>
          <w:p>
            <w:r>
              <w:t>Visualizar detalhes.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UC08</w:t>
            </w:r>
          </w:p>
        </w:tc>
        <w:tc>
          <w:tcPr>
            <w:tcW w:type="dxa" w:w="1567"/>
          </w:tcPr>
          <w:p>
            <w:r>
              <w:t>Publicação de anúncio</w:t>
            </w:r>
          </w:p>
        </w:tc>
        <w:tc>
          <w:tcPr>
            <w:tcW w:type="dxa" w:w="1567"/>
          </w:tcPr>
          <w:p>
            <w:r>
              <w:t>Dados e fotos válidos.</w:t>
            </w:r>
          </w:p>
        </w:tc>
        <w:tc>
          <w:tcPr>
            <w:tcW w:type="dxa" w:w="1567"/>
          </w:tcPr>
          <w:p>
            <w:r>
              <w:t>Publicar para moderação.</w:t>
            </w:r>
          </w:p>
        </w:tc>
        <w:tc>
          <w:tcPr>
            <w:tcW w:type="dxa" w:w="1567"/>
          </w:tcPr>
          <w:p>
            <w:r>
              <w:t>Concluído.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UC10/UC11</w:t>
            </w:r>
          </w:p>
        </w:tc>
        <w:tc>
          <w:tcPr>
            <w:tcW w:type="dxa" w:w="1567"/>
          </w:tcPr>
          <w:p>
            <w:r>
              <w:t>Exclusão e gerenciamento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Excluir, editar e gerenciar anúncios.</w:t>
            </w:r>
          </w:p>
        </w:tc>
        <w:tc>
          <w:tcPr>
            <w:tcW w:type="dxa" w:w="1567"/>
          </w:tcPr>
          <w:p>
            <w:r>
              <w:t>Exclusão, edição e gerenciamento concluídos;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UC06/UC19</w:t>
            </w:r>
          </w:p>
        </w:tc>
        <w:tc>
          <w:tcPr>
            <w:tcW w:type="dxa" w:w="1567"/>
          </w:tcPr>
          <w:p>
            <w:r>
              <w:t>Favoritos e perfil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Gerenciar favoritos e exibir perfil.</w:t>
            </w:r>
          </w:p>
        </w:tc>
        <w:tc>
          <w:tcPr>
            <w:tcW w:type="dxa" w:w="1567"/>
          </w:tcPr>
          <w:p>
            <w:r>
              <w:t>Conforme esperado.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UC12–UC14</w:t>
            </w:r>
          </w:p>
        </w:tc>
        <w:tc>
          <w:tcPr>
            <w:tcW w:type="dxa" w:w="1567"/>
          </w:tcPr>
          <w:p>
            <w:r>
              <w:t>Denúncia e moderação</w:t>
            </w:r>
          </w:p>
        </w:tc>
        <w:tc>
          <w:tcPr>
            <w:tcW w:type="dxa" w:w="1567"/>
          </w:tcPr>
          <w:p>
            <w:r>
              <w:t>Funções por perfil.</w:t>
            </w:r>
          </w:p>
        </w:tc>
        <w:tc>
          <w:tcPr>
            <w:tcW w:type="dxa" w:w="1567"/>
          </w:tcPr>
          <w:p>
            <w:r>
              <w:t>Registrar e moderar.</w:t>
            </w:r>
          </w:p>
        </w:tc>
        <w:tc>
          <w:tcPr>
            <w:tcW w:type="dxa" w:w="1567"/>
          </w:tcPr>
          <w:p>
            <w:r>
              <w:t>Denúncia e moderação concluídas; aprovação verifica erros.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UC13/UC16</w:t>
            </w:r>
          </w:p>
        </w:tc>
        <w:tc>
          <w:tcPr>
            <w:tcW w:type="dxa" w:w="1567"/>
          </w:tcPr>
          <w:p>
            <w:r>
              <w:t>Administração de usuários</w:t>
            </w:r>
          </w:p>
        </w:tc>
        <w:tc>
          <w:tcPr>
            <w:tcW w:type="dxa" w:w="1567"/>
          </w:tcPr>
          <w:p>
            <w:r>
              <w:t>Funções administrativas.</w:t>
            </w:r>
          </w:p>
        </w:tc>
        <w:tc>
          <w:tcPr>
            <w:tcW w:type="dxa" w:w="1567"/>
          </w:tcPr>
          <w:p>
            <w:r>
              <w:t>Buscar, banir e administrar.</w:t>
            </w:r>
          </w:p>
        </w:tc>
        <w:tc>
          <w:tcPr>
            <w:tcW w:type="dxa" w:w="1567"/>
          </w:tcPr>
          <w:p>
            <w:r>
              <w:t>Busca/banimento OK; sem edição/relatórios.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UC07</w:t>
            </w:r>
          </w:p>
        </w:tc>
        <w:tc>
          <w:tcPr>
            <w:tcW w:type="dxa" w:w="1567"/>
          </w:tcPr>
          <w:p>
            <w:r>
              <w:t>Contato e mensagens</w:t>
            </w:r>
          </w:p>
        </w:tc>
        <w:tc>
          <w:tcPr>
            <w:tcW w:type="dxa" w:w="1567"/>
          </w:tcPr>
          <w:p>
            <w:r>
              <w:t>Usuário e anúncio.</w:t>
            </w:r>
          </w:p>
        </w:tc>
        <w:tc>
          <w:tcPr>
            <w:tcW w:type="dxa" w:w="1567"/>
          </w:tcPr>
          <w:p>
            <w:r>
              <w:t>Enviar mensagens.</w:t>
            </w:r>
          </w:p>
        </w:tc>
        <w:tc>
          <w:tcPr>
            <w:tcW w:type="dxa" w:w="1567"/>
          </w:tcPr>
          <w:p>
            <w:r>
              <w:t>Concluído com êxito.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UC25</w:t>
            </w:r>
          </w:p>
        </w:tc>
        <w:tc>
          <w:tcPr>
            <w:tcW w:type="dxa" w:w="1567"/>
          </w:tcPr>
          <w:p>
            <w:r>
              <w:t>Formulário de contato</w:t>
            </w:r>
          </w:p>
        </w:tc>
        <w:tc>
          <w:tcPr>
            <w:tcW w:type="dxa" w:w="1567"/>
          </w:tcPr>
          <w:p>
            <w:r>
              <w:t>Formulário dedicado.</w:t>
            </w:r>
          </w:p>
        </w:tc>
        <w:tc>
          <w:tcPr>
            <w:tcW w:type="dxa" w:w="1567"/>
          </w:tcPr>
          <w:p>
            <w:r>
              <w:t>Enviar mensagem à equipe.</w:t>
            </w:r>
          </w:p>
        </w:tc>
        <w:tc>
          <w:tcPr>
            <w:tcW w:type="dxa" w:w="1567"/>
          </w:tcPr>
          <w:p>
            <w:r>
              <w:t>Formulário persistente em caixa administrativa;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UC21</w:t>
            </w:r>
          </w:p>
        </w:tc>
        <w:tc>
          <w:tcPr>
            <w:tcW w:type="dxa" w:w="1567"/>
          </w:tcPr>
          <w:p>
            <w:r>
              <w:t>Notificações</w:t>
            </w:r>
          </w:p>
        </w:tc>
        <w:tc>
          <w:tcPr>
            <w:tcW w:type="dxa" w:w="1567"/>
          </w:tcPr>
          <w:p>
            <w:r>
              <w:t>Ações geradoras.</w:t>
            </w:r>
          </w:p>
        </w:tc>
        <w:tc>
          <w:tcPr>
            <w:tcW w:type="dxa" w:w="1567"/>
          </w:tcPr>
          <w:p>
            <w:r>
              <w:t>Entregar aviso persistente.</w:t>
            </w:r>
          </w:p>
        </w:tc>
        <w:tc>
          <w:tcPr>
            <w:tcW w:type="dxa" w:w="1567"/>
          </w:tcPr>
          <w:p>
            <w:r>
              <w:t>Registro persistente e badge de não lidas confirmados entre contas.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UC09</w:t>
            </w:r>
          </w:p>
        </w:tc>
        <w:tc>
          <w:tcPr>
            <w:tcW w:type="dxa" w:w="1567"/>
          </w:tcPr>
          <w:p>
            <w:r>
              <w:t>Edição de anúncio</w:t>
            </w:r>
          </w:p>
        </w:tc>
        <w:tc>
          <w:tcPr>
            <w:tcW w:type="dxa" w:w="1567"/>
          </w:tcPr>
          <w:p>
            <w:r>
              <w:t>Anúncio do usuário.</w:t>
            </w:r>
          </w:p>
        </w:tc>
        <w:tc>
          <w:tcPr>
            <w:tcW w:type="dxa" w:w="1567"/>
          </w:tcPr>
          <w:p>
            <w:r>
              <w:t>Editar dados do anúncio.</w:t>
            </w:r>
          </w:p>
        </w:tc>
        <w:tc>
          <w:tcPr>
            <w:tcW w:type="dxa" w:w="1567"/>
          </w:tcPr>
          <w:p>
            <w:r>
              <w:t>Fluxo implementado e aceito manualmente.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UC20</w:t>
            </w:r>
          </w:p>
        </w:tc>
        <w:tc>
          <w:tcPr>
            <w:tcW w:type="dxa" w:w="1567"/>
          </w:tcPr>
          <w:p>
            <w:r>
              <w:t>Marcar como vendido</w:t>
            </w:r>
          </w:p>
        </w:tc>
        <w:tc>
          <w:tcPr>
            <w:tcW w:type="dxa" w:w="1567"/>
          </w:tcPr>
          <w:p>
            <w:r>
              <w:t>Anúncio ativo do proprietário.</w:t>
            </w:r>
          </w:p>
        </w:tc>
        <w:tc>
          <w:tcPr>
            <w:tcW w:type="dxa" w:w="1567"/>
          </w:tcPr>
          <w:p>
            <w:r>
              <w:t>Alterar status para vendido.</w:t>
            </w:r>
          </w:p>
        </w:tc>
        <w:tc>
          <w:tcPr>
            <w:tcW w:type="dxa" w:w="1567"/>
          </w:tcPr>
          <w:p>
            <w:r>
              <w:t>RPC protegida e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UC24</w:t>
            </w:r>
          </w:p>
        </w:tc>
        <w:tc>
          <w:tcPr>
            <w:tcW w:type="dxa" w:w="1567"/>
          </w:tcPr>
          <w:p>
            <w:r>
              <w:t>Compartilhar anúncio</w:t>
            </w:r>
          </w:p>
        </w:tc>
        <w:tc>
          <w:tcPr>
            <w:tcW w:type="dxa" w:w="1567"/>
          </w:tcPr>
          <w:p>
            <w:r>
              <w:t>Anúncio público.</w:t>
            </w:r>
          </w:p>
        </w:tc>
        <w:tc>
          <w:tcPr>
            <w:tcW w:type="dxa" w:w="1567"/>
          </w:tcPr>
          <w:p>
            <w:r>
              <w:t>Compartilhar link.</w:t>
            </w:r>
          </w:p>
        </w:tc>
        <w:tc>
          <w:tcPr>
            <w:tcW w:type="dxa" w:w="1567"/>
          </w:tcPr>
          <w:p>
            <w:r>
              <w:t>Web Share e cópia de link;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UC15</w:t>
            </w:r>
          </w:p>
        </w:tc>
        <w:tc>
          <w:tcPr>
            <w:tcW w:type="dxa" w:w="1567"/>
          </w:tcPr>
          <w:p>
            <w:r>
              <w:t>Categorias</w:t>
            </w:r>
          </w:p>
        </w:tc>
        <w:tc>
          <w:tcPr>
            <w:tcW w:type="dxa" w:w="1567"/>
          </w:tcPr>
          <w:p>
            <w:r>
              <w:t>Função administrativa.</w:t>
            </w:r>
          </w:p>
        </w:tc>
        <w:tc>
          <w:tcPr>
            <w:tcW w:type="dxa" w:w="1567"/>
          </w:tcPr>
          <w:p>
            <w:r>
              <w:t>Gerenciar marcas e modelos.</w:t>
            </w:r>
          </w:p>
        </w:tc>
        <w:tc>
          <w:tcPr>
            <w:tcW w:type="dxa" w:w="1567"/>
          </w:tcPr>
          <w:p>
            <w:r>
              <w:t>CRUD implementado e aceite manual PASS.</w:t>
            </w:r>
          </w:p>
        </w:tc>
        <w:tc>
          <w:tcPr>
            <w:tcW w:type="dxa" w:w="1567"/>
          </w:tcPr>
          <w:p>
            <w:r>
              <w:t>PASS</w:t>
            </w:r>
          </w:p>
        </w:tc>
      </w:tr>
      <w:tr>
        <w:tc>
          <w:tcPr>
            <w:tcW w:type="dxa" w:w="1567"/>
          </w:tcPr>
          <w:p>
            <w:r>
              <w:t>Todos</w:t>
            </w:r>
          </w:p>
        </w:tc>
        <w:tc>
          <w:tcPr>
            <w:tcW w:type="dxa" w:w="1567"/>
          </w:tcPr>
          <w:p>
            <w:r>
              <w:t>Responsividade/navegação</w:t>
            </w:r>
          </w:p>
        </w:tc>
        <w:tc>
          <w:tcPr>
            <w:tcW w:type="dxa" w:w="1567"/>
          </w:tcPr>
          <w:p>
            <w:r>
              <w:t>Ambientes da equipe.</w:t>
            </w:r>
          </w:p>
        </w:tc>
        <w:tc>
          <w:tcPr>
            <w:tcW w:type="dxa" w:w="1567"/>
          </w:tcPr>
          <w:p>
            <w:r>
              <w:t>Fluxos e adaptação.</w:t>
            </w:r>
          </w:p>
        </w:tc>
        <w:tc>
          <w:tcPr>
            <w:tcW w:type="dxa" w:w="1567"/>
          </w:tcPr>
          <w:p>
            <w:r>
              <w:t>Desktop e celular verificados; modelos e resoluções não registrados.</w:t>
            </w:r>
          </w:p>
        </w:tc>
        <w:tc>
          <w:tcPr>
            <w:tcW w:type="dxa" w:w="1567"/>
          </w:tcPr>
          <w:p>
            <w:r>
              <w:t>PASS com limitação</w:t>
            </w:r>
          </w:p>
        </w:tc>
      </w:tr>
    </w:tbl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t>A validação funcional confirmou o UC21: o envio de mensagem entre contas gerou registro persistente de notificação e badge de não lidas na conta destinatária. Esse resultado descreve o ambiente e as contas testadas; não constitui certificação de disponibilidade contínua do serviço.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4.2 Evidências visuais da implementação</w:t>
      </w:r>
    </w:p>
    <w:p>
      <w:pPr>
        <w:spacing w:before="0" w:after="0" w:line="360" w:lineRule="auto"/>
        <w:ind w:left="0" w:right="0" w:firstLine="567"/>
        <w:jc w:val="both"/>
      </w:pPr>
      <w:r>
        <w:t>As Figuras 5 a 9 apresentam capturas do ambiente publicado. A Figura 5 mostra a tela inicial; a Figura 6, a autenticação; a Figura 7, a pesquisa com filtros; a Figura 8, o painel administrativo e a moderação; e a Figura 9 reúne o detalhe de anúncio e o formulário de publicação. As legendas identificam o que cada tela demonstra.</w:t>
      </w:r>
    </w:p>
    <w:p>
      <w:pPr>
        <w:spacing w:before="40" w:after="20" w:line="240" w:lineRule="auto"/>
        <w:jc w:val="center"/>
      </w:pPr>
      <w:r>
        <w:drawing>
          <wp:inline>
            <wp:extent cx="5623560" cy="2692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69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5 – Tela inicial da MGMOTORSBR com busca e navegação principal.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log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rFonts w:ascii="Times New Roman" w:hAnsi="Times New Roman"/>
          <w:sz w:val="20"/>
        </w:rPr>
        <w:t>Figura 6 – Tela de autenticação do protótipo.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marketpla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rPr>
          <w:i w:val="0"/>
        </w:rPr>
        <w:t xml:space="preserve">Figura 7 – Tela representativa do </w:t>
      </w:r>
      <w:r>
        <w:rPr>
          <w:i/>
        </w:rPr>
        <w:t>marketplace</w:t>
      </w:r>
      <w:r>
        <w:rPr>
          <w:i w:val="0"/>
        </w:rPr>
        <w:t xml:space="preserve"> com pesquisa, filtros e anúncios.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 w:line="240" w:lineRule="auto"/>
        <w:jc w:val="center"/>
      </w:pPr>
      <w:r>
        <w:drawing>
          <wp:inline>
            <wp:extent cx="5623560" cy="35147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admin-chatl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t>Figura 8 – Painel administrativo e moderação de anúncios em produção.</w:t>
      </w:r>
    </w:p>
    <w:p>
      <w:pPr>
        <w:spacing w:before="0" w:after="60" w:line="240" w:lineRule="auto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40" w:after="20"/>
        <w:jc w:val="center"/>
      </w:pPr>
      <w:r>
        <w:drawing>
          <wp:inline>
            <wp:extent cx="5623560" cy="35147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-detalhe-publica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51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" w:line="240" w:lineRule="auto"/>
        <w:ind w:left="0" w:right="0" w:firstLine="0"/>
        <w:jc w:val="left"/>
      </w:pPr>
      <w:r>
        <w:t>Figura 9 – Detalhe de anúncio e formulário de publicação em produção.</w:t>
      </w:r>
    </w:p>
    <w:p>
      <w:pPr>
        <w:spacing w:after="60" w:line="240" w:lineRule="auto" w:before="0"/>
        <w:ind w:left="0" w:right="0" w:firstLine="0"/>
        <w:jc w:val="center"/>
      </w:pPr>
      <w:r>
        <w:rPr>
          <w:rFonts w:ascii="Times New Roman" w:hAnsi="Times New Roman"/>
          <w:sz w:val="20"/>
        </w:rPr>
        <w:t>Fonte: Elaborado pelos autores (2026).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As Figuras 5 a 9 foram capturadas no ambiente publicado em 25 de outubro de 2026. A captura do assistente conversacional não foi obtida na sessão final; por isso, a seção 4.3 descreve a integração e registra essa limitação sem apresentar o </w:t>
      </w:r>
      <w:r>
        <w:rPr>
          <w:i/>
        </w:rPr>
        <w:t>Chatling</w:t>
      </w:r>
      <w:r>
        <w:rPr>
          <w:i w:val="0"/>
        </w:rPr>
        <w:t xml:space="preserve"> como resultado de teste concluído.</w:t>
      </w:r>
    </w:p>
    <w:p>
      <w:pPr>
        <w:spacing w:before="160" w:after="60" w:line="240" w:lineRule="auto"/>
        <w:ind w:left="0" w:right="0" w:firstLine="0"/>
        <w:jc w:val="left"/>
      </w:pPr>
      <w:r>
        <w:rPr>
          <w:i w:val="0"/>
        </w:rPr>
        <w:t xml:space="preserve">4.3 </w:t>
      </w:r>
      <w:r>
        <w:rPr>
          <w:i/>
        </w:rPr>
        <w:t>Chatling</w:t>
      </w:r>
      <w:r>
        <w:rPr>
          <w:i w:val="0"/>
        </w:rPr>
        <w:t>: escopo, avaliação e risco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 agente conversacional da MGMOTORSBR é carregado no </w:t>
      </w:r>
      <w:r>
        <w:rPr>
          <w:i/>
        </w:rPr>
        <w:t>front-end</w:t>
      </w:r>
      <w:r>
        <w:rPr>
          <w:i w:val="0"/>
        </w:rPr>
        <w:t xml:space="preserve"> por meio do embed.js, com o identificador 6944231868. A página oficial de preços do </w:t>
      </w:r>
      <w:r>
        <w:rPr>
          <w:i/>
        </w:rPr>
        <w:t>Chatling</w:t>
      </w:r>
      <w:r>
        <w:rPr>
          <w:i w:val="0"/>
        </w:rPr>
        <w:t xml:space="preserve"> consultada em 25 de outubro de 2026 informa o plano Free com 200 créditos de IA por mês, um agente, um assento e 500.000 caracteres na base de conhecimento (</w:t>
      </w:r>
      <w:r>
        <w:rPr>
          <w:i/>
        </w:rPr>
        <w:t>CHATLING</w:t>
      </w:r>
      <w:r>
        <w:rPr>
          <w:i w:val="0"/>
        </w:rPr>
        <w:t>, 2026). O roteiro de avaliação previa perguntas sobre busca por marca e faixa de preço, publicação de anúncios e funcionamento da plataforma; como não foram arquivados diálogos reais na sessão final, não é possível atribuir uma avaliação qualitativa conclusiva às respostas.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Como serviço externo, o </w:t>
      </w:r>
      <w:r>
        <w:rPr>
          <w:i/>
        </w:rPr>
        <w:t>Chatling</w:t>
      </w:r>
      <w:r>
        <w:rPr>
          <w:i w:val="0"/>
        </w:rPr>
        <w:t xml:space="preserve"> pode alterar comportamento, produzir respostas incorretas e tratar dados fora da infraestrutura do projeto. A equipe não arquivou a versão da interface, a base de conhecimento nem a política de retenção do provedor; portanto, o artigo não afirma conformidade com a LGPD. O uso em produção deve evitar o envio de dados pessoais desnecessários e encaminhar decisões de compra para os canais humanos da plataforma.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4.4 Qualidade, responsividade e segurança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A solução apresenta adequação funcional nos fluxos principais e usa autenticação, perfis, RLS, variáveis de ambiente e função protegida de exclusão. As novas fotos de conversas ficam em bucket privado, com policies que restringem </w:t>
      </w:r>
      <w:r>
        <w:rPr>
          <w:i/>
        </w:rPr>
        <w:t>upload</w:t>
      </w:r>
      <w:r>
        <w:rPr>
          <w:i w:val="0"/>
        </w:rPr>
        <w:t xml:space="preserve"> ao proprietário do caminho e leitura aos participantes por meio de URLs assinadas. Breakpoints de 1024, 768 e 480 px foram identificados e a validação final confirmou uso em celular. Migrations, casos de uso, requisitos, evidências e GitHub favorecem manutenibilidade, mas não substituem auditoria completa de segurança, desempenho ou usabilidade.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4.5 Discussão em relação à pergunta de pesquisa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Os resultados respondem afirmativamente, em caráter de protótipo acadêmico: foi possível reunir cadastro, anúncios, filtros avançados, edição, categorias, venda, compartilhamento, contato, mensagens entre contas, notificações persistentes, fotos privadas no chat e suporte conversacional mantendo ligação entre requisitos, casos de uso, tabelas e testes. A resposta é qualificada porque o </w:t>
      </w:r>
      <w:r>
        <w:rPr>
          <w:i/>
        </w:rPr>
        <w:t>Chatling</w:t>
      </w:r>
      <w:r>
        <w:rPr>
          <w:i w:val="0"/>
        </w:rPr>
        <w:t xml:space="preserve"> depende de configuração externa, a validação quantitativa de usabilidade ainda é insuficiente e o sistema não deve ser apresentado como produto comercial pronto.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 CONSIDERAÇÕES FINAIS</w:t>
      </w:r>
    </w:p>
    <w:p>
      <w:pPr>
        <w:spacing w:before="0" w:after="0" w:line="360" w:lineRule="auto"/>
        <w:ind w:left="0" w:right="0" w:firstLine="567"/>
        <w:jc w:val="both"/>
      </w:pPr>
      <w:r>
        <w:t>A MGMOTORSBR alcançou o objetivo de produzir e avaliar um protótipo funcional de intermediação de veículos com cadastro, autenticação, anúncios, filtros avançados, edição, categorias, venda, compartilhamento, contato, moderação, painel administrativo, mensagens entre usuários, notificações persistentes e fotos privadas no chat. O apoio conversacional foi integrado por serviço externo, mas não recebeu avaliação final conclusiva. A modelagem de 25 casos de uso, 16 requisitos funcionais, banco PostgreSQL no Supabase, políticas de acesso e critérios ISO/IEC 25010 fornecem rastreabilidade para continuidade.</w:t>
      </w:r>
    </w:p>
    <w:p>
      <w:pPr>
        <w:spacing w:before="0" w:after="0" w:line="360" w:lineRule="auto"/>
        <w:ind w:left="0" w:right="0" w:firstLine="567"/>
        <w:jc w:val="both"/>
      </w:pPr>
      <w:r>
        <w:t>Os testes indicaram funcionamento satisfatório dos fluxos principais. A comunicação entre duas contas, o envio e recebimento de fotos, as mensagens não lidas, as notificações persistentes, o login, o logout, os filtros avançados, a edição, as categorias, a venda, o compartilhamento, o formulário de contato e a responsividade foram confirmados em Chromium 156.0.8078.47 e Firefox 158.0.1 sobre Arch Linux, além de testes em celular. A plataforma deve ser apresentada como protótipo acadêmico validado, não como produto comercial pronto. A integração é tecnicamente viável, mas depende de acompanhamento, testes ampliados e validações externas.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5.1 Pendências prioritárias para a apresentação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>Para a entrega, permanecem como pendências metodológicas uma avaliação externa de usabilidade e a repetição do teste visual da navbar após o novo deploy. Os dispositivos e resoluções foram registrados como Redmi 13C (1600 × 720) e Samsung A35 (1080 × 2340), e as versões dos navegadores como Chromium 156.0.8078.47 e Firefox 158.0.1 no Arch Linux. A configuração e a política de dados do Chatling também devem ser anexadas se o assistente for apresentado como parte dos resultados. As capturas do site já foram inseridas nas Figuras 5 a 9.</w:t>
      </w:r>
      <w:r>
        <w:rPr>
          <w:i/>
        </w:rPr>
      </w:r>
      <w:r>
        <w:rPr>
          <w:i w:val="0"/>
        </w:rPr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5.2 Trabalhos futuros</w:t>
      </w:r>
    </w:p>
    <w:p>
      <w:pPr>
        <w:spacing w:before="0" w:after="0" w:line="360" w:lineRule="auto"/>
        <w:ind w:left="0" w:right="0" w:firstLine="567"/>
        <w:jc w:val="both"/>
      </w:pPr>
      <w:r>
        <w:rPr>
          <w:i w:val="0"/>
        </w:rPr>
        <w:t xml:space="preserve">Recomenda-se estudo de usabilidade com cinco a oito participantes externos, tarefas cronometradas e SUS; métricas de resposta e carga; análise complementar de segurança e RLS; documentação de diálogos do </w:t>
      </w:r>
      <w:r>
        <w:rPr>
          <w:i/>
        </w:rPr>
        <w:t>Chatling</w:t>
      </w:r>
      <w:r>
        <w:rPr>
          <w:i w:val="0"/>
        </w:rPr>
        <w:t>; revisão institucional da privacidade; e definição de licença compatível com distribuição.</w:t>
      </w:r>
    </w:p>
    <w:p>
      <w:pPr>
        <w:spacing w:before="160" w:after="60" w:line="240" w:lineRule="auto"/>
        <w:ind w:left="0" w:right="0" w:firstLine="0"/>
        <w:jc w:val="left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before="0" w:after="0" w:line="240" w:lineRule="auto"/>
        <w:ind w:left="0" w:right="0" w:firstLine="0"/>
        <w:jc w:val="both"/>
      </w:pPr>
      <w:r>
        <w:t>ABCOMM. Faturamento do ecommerce no Brasil: principais indicadores de 2025. [S. l.], 2025. Disponível em: https://dados.abcomm.org/.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ADAMOPOULOU, E.; MOUSSIADES, L. An overview of chatbot technology. In: MAGLOGIANNIS, I.; ILIADIS, L.; PIMENIDIS, E. (eds.). Artificial Intelligence Applications and Innovations. AIAI 2020. Cham: Springer, 2020. Disponível em: https://link.springer.com/chapter/10.1007/978-3-030-49186-4_31.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rPr>
          <w:rFonts w:ascii="Times New Roman" w:hAnsi="Times New Roman"/>
          <w:b/>
          <w:sz w:val="21"/>
        </w:rPr>
        <w:t xml:space="preserve">BAWACK, R. E.; WAMBA, S. F.; CARILLO, K. D. A.; AKTER, S. </w:t>
      </w:r>
      <w:r>
        <w:rPr>
          <w:rFonts w:ascii="Times New Roman" w:hAnsi="Times New Roman"/>
          <w:sz w:val="21"/>
        </w:rPr>
        <w:t>Artificial intelligence in E-Commerce: a bibliometric study and literature review. Electronic Markets, v. 32, n. 1, p. 297–338, 2022. DOI: 10.1007/s12525-022-00537-z. Disponível em: https://link.springer.com/article/10.1007/s12525-022-00537-z. Acesso em: 08 out. 2026.</w:t>
      </w:r>
    </w:p>
    <w:p>
      <w:pPr>
        <w:spacing w:before="0" w:after="0" w:line="240" w:lineRule="auto"/>
        <w:ind w:left="0" w:right="0" w:firstLine="0"/>
        <w:jc w:val="both"/>
      </w:pPr>
      <w:r>
        <w:t>BRASIL. Lei nº 13.709, de 14 de agosto de 2018. Lei Geral de Proteção de Dados Pessoais. Disponível em: https://www.planalto.gov.br/ccivil_03/_ato2015-2018/2018/lei/l13709.htm.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CARVALHO SOBRINHO, C. M.; OLIVEIRA FILHO, E. W. de. A responsabilidade civil das plataformas digitais de intermediação na compra e venda de veículos à luz do Código de Defesa do Consumidor e do Marco Civil da Internet. Revista JRG de Estudos Acadêmicos, v. 8, n. 19, e082758, 2025. DOI: 10.55892/jrg.v8i19.2758. Disponível em: https://revistajrg.com/index.php/jrg/article/view/2758. Acesso em: 25 out. 2026.</w:t>
      </w:r>
    </w:p>
    <w:p>
      <w:r>
        <w:t>CHATLING. Pricing. [S. l.], 2026. Disponível em: https://chatling.ai/pricing.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FENAUTO. Mercado de veículos usados bate recorde histórico de vendas. 06 jan. 2026. Disponível em: https://www.fenauto.org.br/news/mercado-de-veiculos-usados-bate-recorde-historico-de-vendas.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IEEE. ISO/IEC/IEEE 29148:2018: Systems and software engineering — Life cycle processes — Requirements engineering. [S. l.], 2018. Disponível em: https://standards.ieee.org/standard/29148-2018.html.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ISO. ISO/IEC 25010:2023: Systems and software engineering — Systems and software Quality Requirements and Evaluation (SQuaRE) — Product quality model. Geneva: ISO, 2023. Disponível em: https://www.iso.org/standard/78176.html.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MOBIAUTO. Mobiauto: compra e venda de carros novos e usados. [S. d.]. Disponível em: https://www.mobiauto.com.br/.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OLX. Autos e peças. [S. d.]. Disponível em: https://www.olx.com.br/autos-e-pecas.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PEREIRA, G. da S.; PINTO, G. S. A importância do e-commerce no processo de comercialização de produtos, mercadorias e serviços de micro e pequenas empresas. Revista Interface Tecnológica, v. 18, n. 2, p. 316–328, 2021. DOI: 10.31510/infa.v18i2.1327. Disponível em: https://revista.fatectq.edu.br/interfacetecnologica/article/view/1327. Acesso em: 25 out. 2026.</w:t>
      </w:r>
    </w:p>
    <w:p>
      <w:pPr>
        <w:spacing w:before="0" w:after="0" w:line="240" w:lineRule="auto"/>
        <w:ind w:left="0" w:right="0" w:firstLine="0"/>
        <w:jc w:val="both"/>
      </w:pPr>
      <w:r>
        <w:t>WEBMOTORS. Webmotors: compre, venda e financie carros ou motos novos, usados e seminovos. [S. d.]. Disponível em: https://www.webmotors.com.br/. Acesso em: 25 out. 2026.</w:t>
      </w:r>
    </w:p>
    <w:sectPr>
      <w:headerReference r:id="rId15" w:type="default"/>
      <w:footerReference r:id="rId16" w:type="default"/>
      <w:pgSz w:h="16838" w:w="11906" w:orient="portrait"/>
      <w:pgMar w:bottom="1701" w:top="3231" w:left="1701" w:right="1134" w:header="1701" w:footer="113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1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INSTITUTO FEDERAL DO PARANÁ | C</w:t>
    </w:r>
    <w:r w:rsidDel="00000000" w:rsidR="00000000" w:rsidRPr="00000000">
      <w:rPr>
        <w:rFonts w:ascii="Open Sans" w:cs="Open Sans" w:eastAsia="Open Sans" w:hAnsi="Open Sans"/>
        <w:b w:val="1"/>
        <w:sz w:val="18"/>
        <w:szCs w:val="18"/>
        <w:rtl w:val="0"/>
      </w:rPr>
      <w:t xml:space="preserve">entro de referência IFPR-Biopark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C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left"/>
      <w:rPr/>
    </w:pP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  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Rodovia PR 182 km 320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, Biop</w:t>
    </w:r>
    <w:r w:rsidDel="00000000" w:rsidR="00000000" w:rsidRPr="00000000">
      <w:rPr>
        <w:rFonts w:ascii="Open Sans" w:cs="Open Sans" w:eastAsia="Open Sans" w:hAnsi="Open Sans"/>
        <w:sz w:val="18"/>
        <w:szCs w:val="18"/>
        <w:rtl w:val="0"/>
      </w:rPr>
      <w:t xml:space="preserve">ark, Toledo</w:t>
    </w:r>
    <w:r w:rsidDel="00000000" w:rsidR="00000000" w:rsidRPr="00000000">
      <w:rPr>
        <w:rFonts w:ascii="Open Sans" w:cs="Open Sans" w:eastAsia="Open Sans" w:hAnsi="Open Sans"/>
        <w:b w:val="0"/>
        <w:i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 xml:space="preserve"> - PR | CEP 85935-000  - Brasil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D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360" w:lineRule="auto"/>
      <w:ind w:left="0" w:right="0" w:firstLine="0"/>
      <w:jc w:val="right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widowControl w:val="0"/>
      <w:numPr>
        <w:ilvl w:val="0"/>
        <w:numId w:val="1"/>
      </w:numPr>
      <w:tabs>
        <w:tab w:val="center" w:leader="none" w:pos="4535"/>
        <w:tab w:val="right" w:leader="none" w:pos="9071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4"/>
        <w:szCs w:val="24"/>
        <w:u w:val="none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-401318</wp:posOffset>
          </wp:positionH>
          <wp:positionV relativeFrom="paragraph">
            <wp:posOffset>9304020</wp:posOffset>
          </wp:positionV>
          <wp:extent cx="333375" cy="664210"/>
          <wp:effectExtent b="0" l="0" r="0" t="0"/>
          <wp:wrapSquare wrapText="bothSides" distB="0" distT="0" distL="0" distR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-222" l="-402" r="-401" t="-223"/>
                  <a:stretch>
                    <a:fillRect/>
                  </a:stretch>
                </pic:blipFill>
                <pic:spPr>
                  <a:xfrm>
                    <a:off x="0" y="0"/>
                    <a:ext cx="333375" cy="66421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4762</wp:posOffset>
          </wp:positionH>
          <wp:positionV relativeFrom="paragraph">
            <wp:posOffset>5080</wp:posOffset>
          </wp:positionV>
          <wp:extent cx="5750560" cy="664845"/>
          <wp:effectExtent b="0" l="0" r="0" t="0"/>
          <wp:wrapSquare wrapText="bothSides" distB="0" distT="0" distL="0" distR="0"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-425" l="-50" r="-49" t="-426"/>
                  <a:stretch>
                    <a:fillRect/>
                  </a:stretch>
                </pic:blipFill>
                <pic:spPr>
                  <a:xfrm>
                    <a:off x="0" y="0"/>
                    <a:ext cx="5750560" cy="66484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customStyle="1" w:styleId="TableGrid">
    <w:name w:val="Table Grid"/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www.webmotors.com.br/" TargetMode="External"/><Relationship Id="rId10" Type="http://schemas.openxmlformats.org/officeDocument/2006/relationships/hyperlink" Target="https://www.olx.com.br/autos-e-pecas" TargetMode="External"/><Relationship Id="rId13" Type="http://schemas.openxmlformats.org/officeDocument/2006/relationships/hyperlink" Target="https://www.mobiauto.com.br/" TargetMode="External"/><Relationship Id="rId12" Type="http://schemas.openxmlformats.org/officeDocument/2006/relationships/hyperlink" Target="https://www.webmotors.com.b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olx.com.br/autos-e-pecas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www.mobiauto.com.br/" TargetMode="Externa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1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6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biopark-left.png"/><Relationship Id="rId2" Type="http://schemas.openxmlformats.org/officeDocument/2006/relationships/image" Target="media/biopark-right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MGMOTORS — artigo revisado conforme considerações do professor</dc:title>
  <cp:lastModifiedBy>python-docx</cp:lastModifiedBy>
  <cp:revision>1</cp:revision>
  <dcterms:modified xsi:type="dcterms:W3CDTF">2026-10-09T00:12:32Z</dcterms:modified>
  <dc:creator>Equipe MGMOTORS</dc:creator>
  <dc:description>Ambiente computacional atualizado com PostgreSQL 17.6, Supabase Free, Node.js 26.12.0, VS Code 1.142.0, Arch Linux, Windows, Firefox, Brave e Chrome.</dc:description>
</cp:coreProperties>
</file>