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t>O comércio eletrônico brasileiro vem ampliando sua relevância como canal de pesquisa, comparação e negociação. Este trabalho apresenta o desenvolvimento da MGMOTORSBR, plataforma digital de intermediação de veículos construída com HTML5, CSS3, JavaScript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anúncios,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Chatling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OLX e Webmotors reúnem anúncios, filtros, informações técnicas e canais de contato, constituindo referências para a comparação funcional (OLX, 2026; WEBMOTORS, 2026).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objetivo geral é desenvolver e avaliar um protótipo acadêmico funcional. Os objetivos específicos são implementar cadastro e gerenciamento de anúncios; pesquisa, filtragem e ordenação;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2.1 Comércio eletrônico, marketplaces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comércio eletrônico compreende operações de compra, venda, pesquisa, comunicação e prestação de serviços por meios digitais. Em um marketplace,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t>Sistemas automobilísticos organizam características técnicas, preço, localização, fotos, anunciante e interações. A MGMOTORSBR usa arquitetura em que o front-end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Chatling foi incorporado ao front-end por meio do script JavaScript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upload individual de arquivo a 1 MB e mantém personalização limitada e a marca “Powered by Chatling”. Os créditos são mensais e o consumo varia conforme o modelo de IA. A versão específica da interface e a configuração detalhada do agente ainda dependem do painel do provedor.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rFonts w:ascii="Times New Roman" w:hAnsi="Times New Roman"/>
          <w:i/>
          <w:sz w:val="24"/>
        </w:rPr>
        <w:t>Row Level Security</w:t>
      </w:r>
      <w:r>
        <w:rPr>
          <w:rFonts w:ascii="Times New Roman" w:hAnsi="Times New Roman"/>
          <w:sz w:val="24"/>
        </w:rPr>
        <w:t xml:space="preserve"> (</w:t>
      </w:r>
      <w:r>
        <w:rPr>
          <w:rFonts w:ascii="Times New Roman" w:hAnsi="Times New Roman"/>
          <w:i/>
          <w:sz w:val="24"/>
        </w:rPr>
        <w:t>RLS</w:t>
      </w:r>
      <w:r>
        <w:rPr>
          <w:rFonts w:ascii="Times New Roman" w:hAnsi="Times New Roman"/>
          <w:sz w:val="24"/>
        </w:rPr>
        <w:t>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Parcialmente implementado; não funcional no teste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projeto foi desenvolvido no Instituto Federal do Paraná, Centro de Referência IFPR-Biopark, por estudantes autores e professores orientadores, entre fevereiro de 2025 e agosto de 2026, em atividades presenciais e remotas. A versão final deve registrar interrupções, mudanças de escopo e marcos curriculares, pois o artigo original não os detalhava.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t>O front-end utiliza HTML5, CSS3 e JavaScript sem framework. O Supabase Free fornece PostgreSQL, autenticação, Storage e endpoints; o cliente é @supabase/supabase-js 2.45.4. As fotos novas das conversas são armazenadas no bucket privado FOTOS-MENSAGENS e acessadas por URLs assinadas, enquanto as fotos antigas permanecem compatíveis. O ambiente de desenvolvimento utilizou Node.js 26.12.0 e Visual Studio Code 1.142.0. Git e GitHub foram usados para versionamento e o site está publicado no Vercel, no endereço oficial https://mgmotorss.vercel.app/MG-INICIO/inicio.html. Repositório: https://github.com/murilotecoteco/MGMOTORSBR.</w:t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Windows, com Firefox, Brave e Chrome. A validação final registrada pelos autores foi realizada em Chromium e Firefox sobre Arch Linux, além de testes em dispositivo móvel. Foram confirmados login, logout, mensagens entre duas contas, envio e recebimento de fotos, mensagens não lidas, notificações persistentes, atualização das conversas e funcionamento responsivo. A versão específica dos navegadores e as resoluções devem ser mantidas no diário de testes quando a banca solicitar reprodução detalhada.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t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Row Level Security organizam integridade e acesso. As imagens de anúncios e as imagens privadas de conversas possuem tratamentos distintos no Supabase Storage.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2 m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p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bilid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3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xplici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p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i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, ch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v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c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din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. Im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ã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z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n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up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ci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nunci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t>A implementação priorizou autenticação, anúncios, busca, administração e comunicação. Os módulos priorizados foram implementados, verificados e refinados conforme o escopo efetivamente disponível. A integração com o Chatling foi realizada no front-end por meio do script JavaScript do serviço. O chat utiliza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RNF08 / Privacidade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 deve ser informado sobre termos, privacidade e terceiros.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Verificar aceite legal e aviso sobre Chatling.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Os testes foram funcionais e manuais, complementados por responsividade e validações automatizadas de contraste e estrutura. Cada cenário considerou entrada, resultado esperado, resultado obtido e status. A validação de aceitação confirmou, em duas contas, o envio e recebimento de mensagens e fotos, mensagens não lidas, notificações persistentes, login, logout e uso em celular. Os testes finais foram realizados em Chromium e Firefox sobre Arch Linux; as evidências registram o ambiente e os resultados.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Registro mínimo de auditoria do protocolo de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Equipe de desenvolvimento; registrar nomes.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Período geral até agosto de 2026; preencher cada execução.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Oito cenários agregados no Quadro 6; informar casos e repetições.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Caracterização ausente; indicar fictícios, anonimizados ou reais.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Firefox 158.0 e Chromium 154.0.8037.97 confirmados no Arch Linux; Brave e Chrome usados no histórico, versões ainda não confirmadas.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e Windows.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Vários tamanhos via Mobile FIRST 4.20.4, incluindo smartphones e tablets; modelos/resoluções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t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Chatling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t>A modelagem definiu 25 casos de uso e 16 requisitos funcionais relacionados, com diferentes níveis de implementação no protótipo. Os testes funcionais e a aceitação manual confirmaram os fluxos principais de autenticação, marketplace, comunicação entre contas, envio de fotos, mensagens não lidas, notificações persistentes e responsividade. Os resultados descritos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Campos disponíveis.</w:t>
            </w:r>
          </w:p>
        </w:tc>
        <w:tc>
          <w:tcPr>
            <w:tcW w:type="dxa" w:w="1567"/>
          </w:tcPr>
          <w:p>
            <w:r>
              <w:t>Retornar conforme critérios.</w:t>
            </w:r>
          </w:p>
        </w:tc>
        <w:tc>
          <w:tcPr>
            <w:tcW w:type="dxa" w:w="1567"/>
          </w:tcPr>
          <w:p>
            <w:r>
              <w:t>Filtros limitados; ordenação concluída.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 e gerenciar anúncios.</w:t>
            </w:r>
          </w:p>
        </w:tc>
        <w:tc>
          <w:tcPr>
            <w:tcW w:type="dxa" w:w="1567"/>
          </w:tcPr>
          <w:p>
            <w:r>
              <w:t>Exclusão OK; edição ausente; aba pausados corrigida.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OK; aprovação agora verifica erros.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Não existe; contato disponível por WhatsApp.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Não entregues; parcialmente implementado.</w:t>
            </w:r>
          </w:p>
        </w:tc>
        <w:tc>
          <w:tcPr>
            <w:tcW w:type="dxa" w:w="1567"/>
          </w:tcPr>
          <w:p>
            <w:r>
              <w:t>FAIL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 ou rede social.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categorias.</w:t>
            </w:r>
          </w:p>
        </w:tc>
        <w:tc>
          <w:tcPr>
            <w:tcW w:type="dxa" w:w="1567"/>
          </w:tcPr>
          <w:p>
            <w:r>
              <w:t>Sem CRUD.</w:t>
            </w:r>
          </w:p>
        </w:tc>
        <w:tc>
          <w:tcPr>
            <w:tcW w:type="dxa" w:w="1567"/>
          </w:tcPr>
          <w:p>
            <w:r>
              <w:t>FAIL parcial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Verificados; registrar dispositivos na versão final.</w:t>
            </w:r>
          </w:p>
        </w:tc>
        <w:tc>
          <w:tcPr>
            <w:tcW w:type="dxa" w:w="1567"/>
          </w:tcPr>
          <w:p>
            <w:r>
              <w:t>PASS com ressalva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UC21: o envio de mensagem entre contas gerou registro persistente de notificação e badge de não lidas na conta destinatária. O resultado deve ser interpretado como evidência de funcionamento no ambiente testado, e não como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Figura 5 documenta a tela inicial; a Figura 6 representa autenticação; a Figura 7 reúne busca, filtros e anúncios; a Figura 8 relaciona moderação e atendimento conversacional; e a Figura 9 reúne detalhe e publicação de anúncio. Todas possuem numeração, legenda e fonte.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7 – Tela representativa do marketplace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8 – Tela representativa do painel de moderação e atendimento Chatling.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9 – Telas representativas de detalhe e publicação de anúncio.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As Figuras 7 a 9 são representações documentais baseadas na interface; devem ser substituídas por capturas reais do ambiente de demonstração antes da entrega final.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4.3 Chatling: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agente conversacional da MGMOTORSBR é carregado no front-end por meio do embed.js, com o identificador 6944231868. No plano Free utilizado pela equipe, o serviço informa 200 créditos de IA, um agente, um assento e até 500.000 caracteres na base de conhecimento. O roteiro de avaliação inclui perguntas sobre busca por marca e faixa de preço, publicação de anúncios e funcionamento da plataforma; os diálogos efetivamente obtidos devem ser anexados como evidência da avaliação qualitativa.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Como serviço externo, o Chatling pode alterar comportamento, produzir respostas incorretas e tratar dados fora da infraestrutura do projeto. A entrega deve anexar a política do provedor, o plano, a versão, a base de conhecimento, os limites e a retenção antes de afirmar conformidade com a LGPD. No plano Free, a página pública informa que o conteúdo pertence ao usuário, não é usado para treinar modelos e os documentos enviados são apagados após o processamento; a política institucional ainda deve ser conferida para o caso concreto.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t>A solução apresenta adequação funcional nos fluxos principais e usa autenticação, perfis, RLS, variáveis de ambiente e função protegida de exclusão. As novas fotos de conversas ficam em bucket privado, com policies que restringem upload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t>Os resultados respondem afirmativamente, em caráter de protótipo acadêmico: foi possível reunir cadastro, anúncios, busca, filtros, contato, mensagens entre contas, notificações persistentes, fotos privadas no chat e suporte conversacional mantendo ligação entre requisitos, casos de uso, tabelas e testes. A resposta é qualificada porque o Chatling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um protótipo funcional de intermediação de veículos com cadastro, autenticação, anúncios, pesquisa, contato, moderação, painel administrativo, mensagens entre usuários, notificações persistentes, fotos privadas no chat e apoio conversacional.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 e a responsividade foram confirmados em Chromium e Firefox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t>Completar o diário de testes com executor, data, quantidade, dados, navegadores, sistemas, resoluções e evidências; registrar a versão da interface, a configuração do agente, os diálogos reais e a política de dados do Chatling; confirmar as referências e revisar a redação final do artigo antes da entrega.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t>Recomenda-se estudo de usabilidade com cinco a oito participantes externos, tarefas cronometradas e SUS; métricas de resposta e carga; análise complementar de segurança e RLS; documentação de diálogos do Chatling;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ABCOMM. </w:t>
      </w:r>
      <w:r>
        <w:rPr>
          <w:rFonts w:ascii="Times New Roman" w:hAnsi="Times New Roman"/>
          <w:sz w:val="21"/>
        </w:rPr>
        <w:t>Faturamento do e-commerce no Brasil: dados anuais de 2025. Disponível em: https://dados.abcomm.org/.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ADAMOPOULOU, E.; MOUSSIADES, L. </w:t>
      </w:r>
      <w:r>
        <w:rPr>
          <w:rFonts w:ascii="Times New Roman" w:hAnsi="Times New Roman"/>
          <w:sz w:val="21"/>
        </w:rPr>
        <w:t>An overview of chatbot technology. In: MAGLOGIANNIS, I.; ILIADIS, L.; PIMENIDIS, E. (eds.). Artificial Intelligence Applications and Innovations. AIAI 2020. Cham: Springer, 2020. Disponível em: https://link.springer.com/chapter/10.1007/978-3-030-49186-4_31.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BRASIL. </w:t>
      </w:r>
      <w:r>
        <w:rPr>
          <w:rFonts w:ascii="Times New Roman" w:hAnsi="Times New Roman"/>
          <w:sz w:val="21"/>
        </w:rPr>
        <w:t>Lei nº 13.709, de 14 de agosto de 2018. Lei Geral de Proteção de Dados Pessoais. Disponível em: https://www.planalto.gov.br/ccivil_03/_ato2015-2018/2018/lei/l13709.htm.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CARVALHO SOBRINHO, C. M.; OLIVEIRA FILHO, E. W. de. </w:t>
      </w:r>
      <w:r>
        <w:rPr>
          <w:rFonts w:ascii="Times New Roman" w:hAnsi="Times New Roman"/>
          <w:sz w:val="21"/>
        </w:rPr>
        <w:t>A responsabilidade civil das plataformas digitais de intermediação na compra e venda de veículos à luz do Código de Defesa do Consumidor e do Marco Civil da Internet. Revista JRG, v. 8, n. 19, 2025. Disponível em: https://revistajrg.com/index.php/jrg/article/view/2758.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FENAUTO. </w:t>
      </w:r>
      <w:r>
        <w:rPr>
          <w:rFonts w:ascii="Times New Roman" w:hAnsi="Times New Roman"/>
          <w:sz w:val="21"/>
        </w:rPr>
        <w:t>Mercado de veículos usados bate recorde histórico de vendas. 06 jan. 2026. Disponível em: https://www.fenauto.org.br/news/mercado-de-veiculos-usados-bate-recorde-historico-de-vendas.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IEEE. </w:t>
      </w:r>
      <w:r>
        <w:rPr>
          <w:rFonts w:ascii="Times New Roman" w:hAnsi="Times New Roman"/>
          <w:sz w:val="21"/>
        </w:rPr>
        <w:t>IEEE/ISO/IEC 29148-2018: Systems and software engineering — Requirements engineering. Disponível em: https://standards.ieee.org/standard/29148-2018.html.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ISO. </w:t>
      </w:r>
      <w:r>
        <w:rPr>
          <w:rFonts w:ascii="Times New Roman" w:hAnsi="Times New Roman"/>
          <w:sz w:val="21"/>
        </w:rPr>
        <w:t>ISO/IEC 25010:2023: Systems and software Quality Requirements and Evaluation. Disponível em: https://www.iso.org/obp/ui/#iso:std:iso-iec-25010:en.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MOBIAUTO. </w:t>
      </w:r>
      <w:r>
        <w:rPr>
          <w:rFonts w:ascii="Times New Roman" w:hAnsi="Times New Roman"/>
          <w:sz w:val="21"/>
        </w:rPr>
        <w:t>Mobiauto: compra e venda de carros novos e usados. Disponível em: https://www.mobiauto.com.br/.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OLX. </w:t>
      </w:r>
      <w:r>
        <w:rPr>
          <w:rFonts w:ascii="Times New Roman" w:hAnsi="Times New Roman"/>
          <w:sz w:val="21"/>
        </w:rPr>
        <w:t>Autos e peças. Disponível em: https://www.olx.com.br/autos-e-pecas.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PEREIRA, G. da S.; PINTO, G. S. </w:t>
      </w:r>
      <w:r>
        <w:rPr>
          <w:rFonts w:ascii="Times New Roman" w:hAnsi="Times New Roman"/>
          <w:sz w:val="21"/>
        </w:rPr>
        <w:t>A importância do e-commerce no processo de comercialização de produtos, mercadorias e serviços de micro e pequenas empresas. Revista Interface Tecnológica, v. 18, n. 2, p. 316–328, 2021. Disponível em: https://revista.fatectq.edu.br/interfacetecnologica/article/view/1327.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WEBMOTORS. </w:t>
      </w:r>
      <w:r>
        <w:rPr>
          <w:rFonts w:ascii="Times New Roman" w:hAnsi="Times New Roman"/>
          <w:sz w:val="21"/>
        </w:rPr>
        <w:t>Webmotors: compra e venda de carros, motos e caminhões. Disponível em: https://www.webmotors.com.br/. Acesso em: 08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