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OpenSans-bold.ttf" ContentType="application/x-font-ttf"/>
  <Override PartName="/word/fonts/OpenSans-boldItalic.ttf" ContentType="application/x-font-ttf"/>
  <Override PartName="/word/fonts/OpenSans-italic.ttf" ContentType="application/x-font-ttf"/>
  <Override PartName="/word/fonts/OpenSan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b/>
          <w:sz w:val="24"/>
        </w:rPr>
        <w:t>MGMOTORSBR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4"/>
        </w:rPr>
        <w:t>Guilherme Adami Frank¹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4"/>
        </w:rPr>
        <w:t>Murilo Candido Souza²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4"/>
        </w:rPr>
        <w:t>Renato Lada Guerreiro³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4"/>
        </w:rPr>
        <w:t>Caroline Domingues Porto do Nascimento Barbieri⁴</w:t>
      </w:r>
    </w:p>
    <w:p>
      <w:pPr>
        <w:spacing w:line="240" w:lineRule="auto" w:after="0"/>
        <w:ind w:left="0" w:right="0"/>
        <w:jc w:val="center"/>
      </w:pPr>
      <w:r>
        <w:rPr>
          <w:rFonts w:ascii="Times New Roman" w:hAnsi="Times New Roman"/>
          <w:b/>
          <w:sz w:val="20"/>
        </w:rPr>
        <w:t>Orientadores: Renato Lada Guerreiro³ e Caroline Domingues Porto do Nascimento Barbieri⁴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b/>
          <w:sz w:val="24"/>
        </w:rPr>
        <w:t>RESUMO</w:t>
      </w:r>
    </w:p>
    <w:p>
      <w:pPr>
        <w:spacing w:before="0" w:after="0" w:line="360" w:lineRule="auto"/>
        <w:ind w:left="0" w:right="0" w:firstLine="567"/>
        <w:jc w:val="both"/>
      </w:pPr>
      <w:r>
        <w:t>O comércio eletrônico brasileiro vem ampliando sua relevância como canal de pesquisa, comparação e negociação. Este trabalho apresenta o desenvolvimento da MGMOTORSBR, plataforma digital de intermediação de veículos construída com HTML5, CSS3, JavaScript e PostgreSQL gerenciado pelo Supabase. A solução foi delimitada à divulgação de anúncios, pesquisa e filtragem de veículos, contato entre usuários, notificações persistentes e suporte conversacional por inteligência artificial, sem processamento de pagamento ou transferência de propriedade. O percurso metodológico compreendeu levantamento de referências, modelagem de requisitos e casos de uso, projeto do banco de dados, implementação incremental e testes manuais em contas distintas. Os resultados indicaram funcionamento satisfatório dos principais fluxos de cadastro, pesquisa, anúncios, contato, mensagens, envio de fotos, notificações, moderação e navegação responsiva. A comunicação entre contas e as notificações persistentes foram validadas em produção. As fotos novas do chat utilizam bucket privado e URLs assinadas, com controle de acesso por participante. O Chatling foi incorporado como serviço externo, sujeito aos limites do plano Free. O trabalho contribui como protótipo acadêmico funcional e delimita próximos passos de validação de usabilidade, desempenho e proteção de dados.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/>
          <w:b/>
          <w:sz w:val="24"/>
        </w:rPr>
        <w:t xml:space="preserve">Palavras-chave: rastreabilidade de requisitos; </w:t>
      </w:r>
      <w:r>
        <w:rPr>
          <w:rFonts w:ascii="Times New Roman" w:hAnsi="Times New Roman"/>
          <w:i/>
          <w:sz w:val="24"/>
        </w:rPr>
        <w:t>chatbot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i/>
          <w:sz w:val="24"/>
        </w:rPr>
        <w:t>Supabase</w:t>
      </w:r>
      <w:r>
        <w:rPr>
          <w:rFonts w:ascii="Times New Roman" w:hAnsi="Times New Roman"/>
          <w:sz w:val="24"/>
        </w:rPr>
        <w:t>; protótipo funcional; segurança da informação; usabilidade.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0"/>
        </w:rPr>
        <w:t>————————————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0"/>
        </w:rPr>
        <w:t>¹ guilhermefrankadami@gmail.com</w:t>
        <w:br/>
        <w:t>² candidomurilo809@gmail.com</w:t>
        <w:br/>
        <w:t>³ renato.guerreiro@ifpr.edu.br</w:t>
        <w:br/>
        <w:t>⁴ caroline.barbieri@ifpr.edu.br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1 INTRODUÇÃO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 avanço das tecnologias digitais transformou as formas de comercialização, pesquisa e comunicação. A Associação Brasileira de Comércio Eletrônico (ABComm) apresenta para 2025 faturamento estimado de R$ 235,5 bilhões, 438,9 milhões de pedidos e 94,2 milhões de compradores (ABCOMM, 2025). Esses dados são gerais para o comércio eletrônico e contextualizam soluções digitais de nicho.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No segmento de veículos seminovos e usados, a FENAUTO registrou 18.508.929 unidades comercializadas no Brasil em 2025, crescimento de 17,3% sobre 2024 (FENAUTO, 2026). O indicador mostra a dimensão do mercado que pode ser apoiada por busca, organização de anúncios e comunicação digital, sem significar que a MGMOTORSBR o represente ou mensure.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OLX e Webmotors reúnem anúncios, filtros, informações técnicas e canais de contato, constituindo referências para a comparação funcional (OLX, 2026; WEBMOTORS, 2026). A MGMOTORSBR não pretende afirmar superioridade comercial nem realizar avaliação exaustiva de concorrentes.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A proposta é um ambiente de intermediação: o usuário consulta anúncios e características, enquanto o contato e a negociação são encaminhados pelos mecanismos da plataforma. Não fazem parte do escopo avaliação mecânica, garantia, financiamento, pagamento ou formalização jurídica.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A pergunta de pesquisa é: como desenvolver uma plataforma digital de intermediação de veículos que reúna cadastro de anúncios, busca personalizada e suporte conversacional por inteligência artificial, mantendo rastreabilidade dos requisitos e cuidados básicos de segurança e proteção de dados?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 objetivo geral é desenvolver e avaliar um protótipo acadêmico funcional. Os objetivos específicos são implementar cadastro e gerenciamento de anúncios; pesquisa, filtragem e ordenação; modelar dados e casos de uso; integrar o assistente conversacional; verificar fluxos por testes; e discutir limites técnicos, metodológicos e éticos.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 FUNDAMENTAÇÃO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2.1 Comércio eletrônico, marketplaces e plataformas digitais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 comércio eletrônico compreende operações de compra, venda, pesquisa, comunicação e prestação de serviços por meios digitais. Em um marketplace, a plataforma organiza publicação, descoberta, comparação e contato. Pereira e Pinto (2021) observam que a presença digital pode ampliar alcance e influenciar confiança.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Em anúncios de veículos, marca, modelo, ano, preço, quilometragem, localização e imagens reduzem o custo de pesquisa. Interfaces responsivas e filtros coerentes são requisitos ligados à usabilidade e à adequação funcional.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2.2 Inteligência artificial e chatbots em plataformas digitais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Aplicações de inteligência artificial no comércio eletrônico incluem recomendação, atendimento automatizado, análise de comportamento e personalização (BAWACK et al., 2022). Chatbots interagem por linguagem natural ou fluxos definidos, dependendo da qualidade da base de conhecimento e da transparência sobre limites (ADAMOPOULOU; MOUSSIADES, 2020).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2.3 Sistemas de informação no setor automobilístico</w:t>
      </w:r>
    </w:p>
    <w:p>
      <w:pPr>
        <w:spacing w:before="0" w:after="0" w:line="360" w:lineRule="auto"/>
        <w:ind w:left="0" w:right="0" w:firstLine="567"/>
        <w:jc w:val="both"/>
      </w:pPr>
      <w:r>
        <w:t>Sistemas automobilísticos organizam características técnicas, preço, localização, fotos, anunciante e interações. A MGMOTORSBR usa arquitetura em que o front-end apresenta e valida dados, o Supabase fornece persistência, autenticação e armazenamento, e o serviço de IA acrescenta interação nos fluxos priorizados. Essa separação permite discutir qualidade segundo a ISO/IEC 25010 (ISO, 2023).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 Chatling foi incorporado ao front-end por meio do script JavaScript fornecido pelo serviço, com o identificador 6944231868. A integração utiliza o plano Free, que disponibiliza 200 créditos de IA por mês, um agente, um assento, 500.000 caracteres na base de conhecimento e 25 créditos de e-mail por mês. O plano também limita a dois AI Actions por agente, um workflow por agente, upload individual de arquivo a 1 MB e mantém personalização limitada e a marca “Powered by Chatling”. Os créditos são mensais e o consumo varia conforme o modelo de IA. A versão específica da interface e a configuração detalhada do agente ainda dependem do painel do provedor.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2.4 Requisitos, desenvolvimento incremental e qualidade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A ISO/IEC/IEEE 29148 recomenda requisitos claros, verificáveis e rastreáveis (IEEE, 2018). A ligação entre casos de uso, requisitos, implementação e testes organiza a metodologia. A implementação incremental permitiu desenvolver, testar e ajustar módulos em etapas.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2.5 Aspectos éticos e proteção de dados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 xml:space="preserve">A MGMOTORSBR trata dados de cadastro, contato, anúncios, mensagens e imagens. A LGPD exige transparência sobre finalidades, bases legais, canais, retenção e direitos dos titulares (BRASIL, 2018). O protótipo adota autenticação, controle de acesso, políticas de </w:t>
      </w:r>
      <w:r>
        <w:rPr>
          <w:rFonts w:ascii="Times New Roman" w:hAnsi="Times New Roman"/>
          <w:i/>
          <w:sz w:val="24"/>
        </w:rPr>
        <w:t>Row Level Security</w:t>
      </w:r>
      <w:r>
        <w:rPr>
          <w:rFonts w:ascii="Times New Roman" w:hAnsi="Times New Roman"/>
          <w:sz w:val="24"/>
        </w:rPr>
        <w:t xml:space="preserve"> (</w:t>
      </w:r>
      <w:r>
        <w:rPr>
          <w:rFonts w:ascii="Times New Roman" w:hAnsi="Times New Roman"/>
          <w:i/>
          <w:sz w:val="24"/>
        </w:rPr>
        <w:t>RLS</w:t>
      </w:r>
      <w:r>
        <w:rPr>
          <w:rFonts w:ascii="Times New Roman" w:hAnsi="Times New Roman"/>
          <w:sz w:val="24"/>
        </w:rPr>
        <w:t>) e validação, mas não afirma conformidade jurídica integral.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2.6 Trabalhos relacionados e posicionamento da MGMOTORSBR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A literatura discute comércio eletrônico, inteligência artificial, responsabilidade de plataformas e chatbots. Carvalho Sobrinho e Oliveira Filho (2025) ressaltam responsabilidades da intermediação digital. OLX Autos, Webmotors e Mobiauto foram observadas como referências públicas. A MGMOTORSBR é posicionada como protótipo acadêmico aplicado, com combinação de anúncios, filtros, comunicação, moderação e apoio conversacional em pequena escala.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3 – Comparação funcional entre plataformas de referência e o protótipo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2351"/>
        <w:gridCol w:w="2351"/>
        <w:gridCol w:w="2351"/>
        <w:gridCol w:w="2351"/>
      </w:tblGrid>
      <w:tr>
        <w:trPr>
          <w:cantSplit/>
          <w:tblHeader w:val="true"/>
        </w:trPr>
        <w:tc>
          <w:tcPr>
            <w:tcW w:type="dxa" w:w="3384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Dimensão funcional</w:t>
            </w:r>
          </w:p>
        </w:tc>
        <w:tc>
          <w:tcPr>
            <w:tcW w:type="dxa" w:w="144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OLX Autos</w:t>
            </w:r>
          </w:p>
        </w:tc>
        <w:tc>
          <w:tcPr>
            <w:tcW w:type="dxa" w:w="144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Webmotors</w:t>
            </w:r>
          </w:p>
        </w:tc>
        <w:tc>
          <w:tcPr>
            <w:tcW w:type="dxa" w:w="2664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MGMOTORSBR (protótipo)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Anúncios de veículos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Sim (RF06 – UC08, UC10–UC11)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Pesquisa por texto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(RF02 – UC04)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Filtros (marca, modelo, ano, preço, localização)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Parcial (RF02 – UC04, UC22)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Filtros estendidos (combustível, câmbio, cor, quilometragem)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Não (RF02 – UC04, UC22)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Ordenação de resultados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(RF02 – UC22)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Categorias de veículos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Parcial (RF11 – UC15)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Visualização de detalhes do anúncio (fotos, especificações)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(RF03 – UC05)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Dados do anunciante na página do anúncio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(RF03 – UC05)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Contato com o vendedor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(RF05 – UC07)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Contato por WhatsApp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identificado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(RF05 – UC07)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Mensagem interna entre usuários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(RF05 – UC07)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Formulário de contato com a plataforma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Não (RF16 – UC25)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Favoritos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(RF04 – UC06)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Perfil público do vendedor com anúncios ativos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(RF13 – UC19)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Cadastro e autenticação de usuários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(RF01 – UC01–UC03)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Recuperação de senha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(RF01 – UC03)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Gerenciamento de perfil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(RF01 – UC17, UC18)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Marcar veículo como vendido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Não (RF07 – UC20)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Denúncias de anúncios irregulares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(RF08 – UC12)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Moderação de anúncios pela plataforma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Parcial (RF10 – UC14)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Administração de usuários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confirmado na análise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confirmado na análise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Parcial (RF09 – UC13)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Gerenciamento de categorias pela plataforma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Não (RF11 – UC15)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Painel administrativo com estatísticas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confirmado na análise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confirmado na análise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Parcial (RF12 – UC16)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Notificações ao usuário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Parcialmente implementado; não funcional no teste (RF14 – UC21)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Compartilhamento de anúncios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Não (RF15 – UC24)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Assistente conversacional com IA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identificado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identificado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(Chatling)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 PERCURSO METODOLÓGICO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A pesquisa é aplicada, descritiva e exploratória, com desenvolvimento de protótipo funcional. O procedimento compreendeu referências, requisitos, casos de uso, banco de dados, implementação incremental e testes manuais. A unidade de análise é a MGMOTORSBR, observada segundo cobertura, funcionamento e condições previstas.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3.1 Período, local e equipe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 projeto foi desenvolvido no Instituto Federal do Paraná, Centro de Referência IFPR-Biopark, por estudantes autores e professores orientadores, entre fevereiro de 2025 e agosto de 2026, em atividades presenciais e remotas. A versão final deve registrar interrupções, mudanças de escopo e marcos curriculares, pois o artigo original não os detalhava.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3.2 Tecnologias, ambiente e ferramentas</w:t>
      </w:r>
    </w:p>
    <w:p>
      <w:pPr>
        <w:spacing w:before="0" w:after="0" w:line="360" w:lineRule="auto"/>
        <w:ind w:left="0" w:right="0" w:firstLine="567"/>
        <w:jc w:val="both"/>
      </w:pPr>
      <w:r>
        <w:t>O front-end utiliza HTML5, CSS3 e JavaScript sem framework. O Supabase Free fornece PostgreSQL, autenticação, Storage e endpoints; o cliente é @supabase/supabase-js 2.45.4. As fotos novas das conversas são armazenadas no bucket privado FOTOS-MENSAGENS e acessadas por URLs assinadas, enquanto as fotos antigas permanecem compatíveis. O ambiente de desenvolvimento utilizou Node.js 26.12.0 e Visual Studio Code 1.142.0. Git e GitHub foram usados para versionamento e o site está publicado no Vercel, no endereço oficial https://mgmotorss.vercel.app/MG-INICIO/inicio.html. Repositório: https://github.com/murilotecoteco/MGMOTORSBR.</w:t>
      </w:r>
    </w:p>
    <w:p>
      <w:pPr>
        <w:spacing w:before="0" w:after="0" w:line="360" w:lineRule="auto"/>
        <w:ind w:left="0" w:right="0" w:firstLine="567"/>
        <w:jc w:val="both"/>
      </w:pPr>
      <w:r>
        <w:t>Nos testes e no desenvolvimento foram utilizados Arch Linux e Windows, com Firefox, Brave e Chrome. A validação final registrada pelos autores foi realizada em Chromium e Firefox sobre Arch Linux, além de testes em dispositivo móvel. Foram confirmados login, logout, mensagens entre duas contas, envio e recebimento de fotos, mensagens não lidas, notificações persistentes, atualização das conversas e funcionamento responsivo. A versão específica dos navegadores e as resoluções devem ser mantidas no diário de testes quando a banca solicitar reprodução detalhada.</w:t>
      </w:r>
    </w:p>
    <w:p>
      <w:pPr>
        <w:spacing w:before="40" w:after="20" w:line="240" w:lineRule="auto"/>
        <w:jc w:val="center"/>
      </w:pPr>
      <w:r>
        <w:drawing>
          <wp:inline>
            <wp:extent cx="5623560" cy="37490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749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1 – Arquitetura tecnológica da MGMOTORSBR.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3.3 Levantamento e modelagem de requisitos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 levantamento observou OLX, Webmotors e Mobiauto, registrando funcionalidades, organização de interfaces e requisitos. A comparação detalhada está na seção 2.6. A modelagem resultou em 25 casos de uso distribuídos entre Visitante, Usuário, Vendedor e Administrador.</w:t>
      </w:r>
      <w:r>
        <w:t xml:space="preserve"> A Figura 2 apresenta o diagrama de casos de uso, com os atores e as principais interações previstas na plataforma.</w:t>
      </w:r>
    </w:p>
    <w:p>
      <w:pPr>
        <w:pageBreakBefore/>
        <w:spacing w:before="80" w:after="40"/>
        <w:ind w:firstLine="0"/>
        <w:jc w:val="center"/>
      </w:pPr>
      <w:r>
        <w:drawing>
          <wp:inline>
            <wp:extent cx="5580000" cy="57404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asos_uso_mgmotorsb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740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40" w:after="40"/>
        <w:ind w:firstLine="0"/>
        <w:jc w:val="center"/>
      </w:pPr>
      <w:r>
        <w:rPr>
          <w:rFonts w:ascii="Times New Roman" w:hAnsi="Times New Roman"/>
          <w:b w:val="0"/>
          <w:sz w:val="20"/>
        </w:rPr>
        <w:t>Figura 2 – Diagrama de casos de uso da plataforma MGMOTORSBR.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1 – Resumo dos casos de uso do sistema MGMOTORSBR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3135"/>
        <w:gridCol w:w="3135"/>
        <w:gridCol w:w="3135"/>
      </w:tblGrid>
      <w:tr>
        <w:trPr>
          <w:cantSplit/>
          <w:tblHeader w:val="true"/>
        </w:trPr>
        <w:tc>
          <w:tcPr>
            <w:tcW w:type="dxa" w:w="1296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Código</w:t>
            </w:r>
          </w:p>
        </w:tc>
        <w:tc>
          <w:tcPr>
            <w:tcW w:type="dxa" w:w="511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Caso de uso</w:t>
            </w:r>
          </w:p>
        </w:tc>
        <w:tc>
          <w:tcPr>
            <w:tcW w:type="dxa" w:w="252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Ator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UC01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Cadastrar usuário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UC02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Realizar login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UC03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Recuperar senha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UC04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Pesquisar veículos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UC05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Visualizar detalhes do veículo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UC06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Favoritar veículo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UC07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Entrar em contato com o vendedor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UC08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Publicar anúncio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Vendedor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UC09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Editar anúncio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Vendedor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UC10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Excluir anúncio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Vendedor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UC11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Gerenciar meus anúncios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Vendedor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UC12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Denunciar anúncio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UC13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Administrar usuários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Administrador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UC14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Moderar anúncios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Administrador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UC15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Gerenciar categorias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Administrador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UC16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Painel administrativo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Administrador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UC17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Gerenciar perfil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UC18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Alterar senha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UC19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Visualizar perfil do vendedor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UC20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Marcar veículo como vendido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Vendedor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UC21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Receber notificações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UC22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Filtrar e ordenar veículos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UC23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Sair da conta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UC24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Compartilhar anúncio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UC25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Enviar mensagem pelo formulário de contato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</w:tbl>
    <w:p>
      <w:pPr>
        <w:spacing w:line="240" w:lineRule="auto" w:before="40" w:after="40"/>
        <w:ind w:firstLine="0"/>
        <w:jc w:val="center"/>
      </w:pPr>
      <w:r>
        <w:rPr>
          <w:rFonts w:ascii="Times New Roman" w:hAnsi="Times New Roman"/>
          <w:b w:val="0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3.4 Requisitos funcionais e rastreabilidade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Os requisitos funcionais foram consolidados a partir dos casos de uso. O Quadro 2 relaciona requisito, funcionalidade e caso de uso; responsividade, validação, acesso e segurança são detalhados na seção 3.7.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2 – Requisitos funcionais e casos de uso relacionados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3135"/>
        <w:gridCol w:w="3135"/>
        <w:gridCol w:w="3135"/>
      </w:tblGrid>
      <w:tr>
        <w:trPr>
          <w:cantSplit/>
          <w:tblHeader w:val="true"/>
        </w:trPr>
        <w:tc>
          <w:tcPr>
            <w:tcW w:type="dxa" w:w="144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Código</w:t>
            </w:r>
          </w:p>
        </w:tc>
        <w:tc>
          <w:tcPr>
            <w:tcW w:type="dxa" w:w="540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Requisito funcional</w:t>
            </w:r>
          </w:p>
        </w:tc>
        <w:tc>
          <w:tcPr>
            <w:tcW w:type="dxa" w:w="2088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UCs relacionadas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RF01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Gerenciar contas de usuário: cadastro, login, recuperação, perfil, senha e logout.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UC01–UC03, UC17, UC18, UC23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RF02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Pesquisar, filtrar e ordenar veículos por marca, modelo, ano, preço, quilometragem, combustível, câmbio, cor e localização.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UC04, UC22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RF03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Visualizar detalhes do anúncio, incluindo fotos, especificações e dados do vendedor.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UC05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RF04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Salvar e gerenciar veículos favoritos.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UC06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RF05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Entrar em contato com o vendedor por WhatsApp ou mensagem interna.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UC07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RF06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Publicar, editar, excluir e gerenciar anúncios com upload de fotos.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UC08–UC11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RF07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Marcar veículo como vendido e removê-lo da listagem pública.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UC20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RF08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Denunciar anúncios irregulares com indicação do motivo.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UC12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RF09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Administrar usuários: pesquisar, editar, suspender e reativar contas.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UC13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RF10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Moderar anúncios e registrar justificativa para aprovação ou rejeição.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UC14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RF11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Gerenciar categorias de marcas e modelos.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UC15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RF12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Exibir painel administrativo com estatísticas e relatórios.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UC16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RF13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Visualizar perfil público do vendedor e seus anúncios ativos.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UC19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RF14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Receber notificações sobre contatos, aprovações e mudanças de status.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UC21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RF15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Compartilhar anúncios por WhatsApp, Facebook ou link direto.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UC24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RF16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Enviar mensagem à equipe MGMOTORSBR por formulário de contato.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UC25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3.5 Modelagem do banco de dados e dicionário</w:t>
      </w:r>
    </w:p>
    <w:p>
      <w:pPr>
        <w:spacing w:before="0" w:after="0" w:line="360" w:lineRule="auto"/>
        <w:ind w:left="0" w:right="0" w:firstLine="567"/>
        <w:jc w:val="both"/>
      </w:pPr>
      <w:r>
        <w:t>O schema em supabase/migrations apresenta como entidades centrais usuarios, anuncios, marcas, modelos, versoes, fotos_anuncio, favoritos, curtidas_anuncio, mensagens, notificacoes, conversas, denuncias, seguidores e config_usuario. A descrição foi corrigida para refletir o schema atual. Chaves e políticas de Row Level Security organizam integridade e acesso. As imagens de anúncios e as imagens privadas de conversas possuem tratamentos distintos no Supabase Storage.</w:t>
      </w:r>
    </w:p>
    <w:p>
      <w:pPr>
        <w:spacing w:before="40" w:after="20" w:line="240" w:lineRule="auto"/>
        <w:jc w:val="center"/>
      </w:pPr>
      <w:r>
        <w:drawing>
          <wp:inline>
            <wp:extent cx="5623560" cy="35928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class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92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3 – Diagrama de classes simplificado dos principais objetos de domínio.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 xml:space="preserve"> Fi</w:t>
      </w:r>
      <w:r>
        <w:rPr>
          <w:rFonts w:ascii="Times New Roman" w:hAnsi="Times New Roman"/>
          <w:i/>
          <w:sz w:val="24"/>
        </w:rPr>
        <w:t>g</w:t>
      </w:r>
      <w:r>
        <w:rPr>
          <w:rFonts w:ascii="Times New Roman" w:hAnsi="Times New Roman"/>
          <w:sz w:val="24"/>
        </w:rPr>
        <w:t>u</w:t>
      </w:r>
      <w:r>
        <w:rPr>
          <w:rFonts w:ascii="Times New Roman" w:hAnsi="Times New Roman"/>
          <w:i/>
          <w:sz w:val="24"/>
        </w:rPr>
        <w:t>r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 xml:space="preserve"> 2 m</w:t>
      </w:r>
      <w:r>
        <w:rPr>
          <w:rFonts w:ascii="Times New Roman" w:hAnsi="Times New Roman"/>
          <w:i/>
          <w:sz w:val="24"/>
        </w:rPr>
        <w:t>o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i/>
          <w:sz w:val="24"/>
        </w:rPr>
        <w:t>t</w:t>
      </w:r>
      <w:r>
        <w:rPr>
          <w:rFonts w:ascii="Times New Roman" w:hAnsi="Times New Roman"/>
          <w:i/>
          <w:sz w:val="24"/>
        </w:rPr>
        <w:t>r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r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>p</w:t>
      </w:r>
      <w:r>
        <w:rPr>
          <w:rFonts w:ascii="Times New Roman" w:hAnsi="Times New Roman"/>
          <w:i/>
          <w:sz w:val="24"/>
        </w:rPr>
        <w:t>o</w:t>
      </w:r>
      <w:r>
        <w:rPr>
          <w:rFonts w:ascii="Times New Roman" w:hAnsi="Times New Roman"/>
          <w:sz w:val="24"/>
        </w:rPr>
        <w:t>n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bilid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d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 xml:space="preserve"> Fi</w:t>
      </w:r>
      <w:r>
        <w:rPr>
          <w:rFonts w:ascii="Times New Roman" w:hAnsi="Times New Roman"/>
          <w:i/>
          <w:sz w:val="24"/>
        </w:rPr>
        <w:t>g</w:t>
      </w:r>
      <w:r>
        <w:rPr>
          <w:rFonts w:ascii="Times New Roman" w:hAnsi="Times New Roman"/>
          <w:sz w:val="24"/>
        </w:rPr>
        <w:t>u</w:t>
      </w:r>
      <w:r>
        <w:rPr>
          <w:rFonts w:ascii="Times New Roman" w:hAnsi="Times New Roman"/>
          <w:i/>
          <w:sz w:val="24"/>
        </w:rPr>
        <w:t>r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 xml:space="preserve"> 3 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sz w:val="24"/>
        </w:rPr>
        <w:t>xplici</w:t>
      </w:r>
      <w:r>
        <w:rPr>
          <w:rFonts w:ascii="Times New Roman" w:hAnsi="Times New Roman"/>
          <w:i/>
          <w:sz w:val="24"/>
        </w:rPr>
        <w:t>t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sz w:val="24"/>
        </w:rPr>
        <w:t>n</w:t>
      </w:r>
      <w:r>
        <w:rPr>
          <w:rFonts w:ascii="Times New Roman" w:hAnsi="Times New Roman"/>
          <w:i/>
          <w:sz w:val="24"/>
        </w:rPr>
        <w:t>t</w:t>
      </w:r>
      <w:r>
        <w:rPr>
          <w:rFonts w:ascii="Times New Roman" w:hAnsi="Times New Roman"/>
          <w:sz w:val="24"/>
        </w:rPr>
        <w:t>id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d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 xml:space="preserve"> p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i/>
          <w:sz w:val="24"/>
        </w:rPr>
        <w:t>r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>i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i/>
          <w:sz w:val="24"/>
        </w:rPr>
        <w:t>t</w:t>
      </w:r>
      <w:r>
        <w:rPr>
          <w:rFonts w:ascii="Times New Roman" w:hAnsi="Times New Roman"/>
          <w:sz w:val="24"/>
        </w:rPr>
        <w:t>id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>, ch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v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sz w:val="24"/>
        </w:rPr>
        <w:t xml:space="preserve"> c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i/>
          <w:sz w:val="24"/>
        </w:rPr>
        <w:t>r</w:t>
      </w:r>
      <w:r>
        <w:rPr>
          <w:rFonts w:ascii="Times New Roman" w:hAnsi="Times New Roman"/>
          <w:sz w:val="24"/>
        </w:rPr>
        <w:t>din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lid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d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>. Im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i/>
          <w:sz w:val="24"/>
        </w:rPr>
        <w:t>g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sz w:val="24"/>
        </w:rPr>
        <w:t>n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>ã</w:t>
      </w:r>
      <w:r>
        <w:rPr>
          <w:rFonts w:ascii="Times New Roman" w:hAnsi="Times New Roman"/>
          <w:i/>
          <w:sz w:val="24"/>
        </w:rPr>
        <w:t>o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i/>
          <w:sz w:val="24"/>
        </w:rPr>
        <w:t>r</w:t>
      </w:r>
      <w:r>
        <w:rPr>
          <w:rFonts w:ascii="Times New Roman" w:hAnsi="Times New Roman"/>
          <w:sz w:val="24"/>
        </w:rPr>
        <w:t>m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z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sz w:val="24"/>
        </w:rPr>
        <w:t>n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d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 xml:space="preserve"> n</w:t>
      </w:r>
      <w:r>
        <w:rPr>
          <w:rFonts w:ascii="Times New Roman" w:hAnsi="Times New Roman"/>
          <w:i/>
          <w:sz w:val="24"/>
        </w:rPr>
        <w:t>o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>up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b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i/>
          <w:sz w:val="24"/>
        </w:rPr>
        <w:t>t</w:t>
      </w:r>
      <w:r>
        <w:rPr>
          <w:rFonts w:ascii="Times New Roman" w:hAnsi="Times New Roman"/>
          <w:i/>
          <w:sz w:val="24"/>
        </w:rPr>
        <w:t>o</w:t>
      </w:r>
      <w:r>
        <w:rPr>
          <w:rFonts w:ascii="Times New Roman" w:hAnsi="Times New Roman"/>
          <w:i/>
          <w:sz w:val="24"/>
        </w:rPr>
        <w:t>r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i/>
          <w:sz w:val="24"/>
        </w:rPr>
        <w:t>g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i/>
          <w:sz w:val="24"/>
        </w:rPr>
        <w:t>o</w:t>
      </w:r>
      <w:r>
        <w:rPr>
          <w:rFonts w:ascii="Times New Roman" w:hAnsi="Times New Roman"/>
          <w:sz w:val="24"/>
        </w:rPr>
        <w:t>ci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d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 xml:space="preserve"> f</w:t>
      </w:r>
      <w:r>
        <w:rPr>
          <w:rFonts w:ascii="Times New Roman" w:hAnsi="Times New Roman"/>
          <w:i/>
          <w:sz w:val="24"/>
        </w:rPr>
        <w:t>o</w:t>
      </w:r>
      <w:r>
        <w:rPr>
          <w:rFonts w:ascii="Times New Roman" w:hAnsi="Times New Roman"/>
          <w:i/>
          <w:sz w:val="24"/>
        </w:rPr>
        <w:t>t</w:t>
      </w:r>
      <w:r>
        <w:rPr>
          <w:rFonts w:ascii="Times New Roman" w:hAnsi="Times New Roman"/>
          <w:i/>
          <w:sz w:val="24"/>
        </w:rPr>
        <w:t>o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>_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nunci</w:t>
      </w:r>
      <w:r>
        <w:rPr>
          <w:rFonts w:ascii="Times New Roman" w:hAnsi="Times New Roman"/>
          <w:i/>
          <w:sz w:val="24"/>
        </w:rPr>
        <w:t>o</w:t>
      </w:r>
      <w:r>
        <w:rPr>
          <w:rFonts w:ascii="Times New Roman" w:hAnsi="Times New Roman"/>
          <w:sz w:val="24"/>
        </w:rPr>
        <w:t>.</w:t>
      </w:r>
    </w:p>
    <w:p>
      <w:pPr>
        <w:spacing w:before="40" w:after="20" w:line="240" w:lineRule="auto"/>
        <w:jc w:val="center"/>
      </w:pPr>
      <w:r>
        <w:drawing>
          <wp:inline>
            <wp:extent cx="5623560" cy="35928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92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4 – Modelo entidade-relacionamento simplificado das principais tabelas.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4 – Dicionário de dados das principais tabelas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1881"/>
        <w:gridCol w:w="1881"/>
        <w:gridCol w:w="1881"/>
        <w:gridCol w:w="1881"/>
        <w:gridCol w:w="1881"/>
      </w:tblGrid>
      <w:tr>
        <w:trPr>
          <w:cantSplit/>
          <w:tblHeader w:val="true"/>
        </w:trPr>
        <w:tc>
          <w:tcPr>
            <w:tcW w:type="dxa" w:w="151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Tabela</w:t>
            </w:r>
          </w:p>
        </w:tc>
        <w:tc>
          <w:tcPr>
            <w:tcW w:type="dxa" w:w="187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Campo</w:t>
            </w:r>
          </w:p>
        </w:tc>
        <w:tc>
          <w:tcPr>
            <w:tcW w:type="dxa" w:w="1584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Tipo</w:t>
            </w:r>
          </w:p>
        </w:tc>
        <w:tc>
          <w:tcPr>
            <w:tcW w:type="dxa" w:w="223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Restrição</w:t>
            </w:r>
          </w:p>
        </w:tc>
        <w:tc>
          <w:tcPr>
            <w:tcW w:type="dxa" w:w="1728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Finalidade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PK/Auth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Identifica usuário.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nome; email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RLS no perfil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Cadastro.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moderador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boolean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default false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Acesso administrativo.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PK/default UUID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Identifica anúncio.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usuario_id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FK/NOT NULL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Vincula anunciante.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marca_id; modelo_id; versao_id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FK/opcionais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Classifica veículo.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preco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numeric(12,2)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NULL; &gt;0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Preço.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ano_fabricacao; ano_modelo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integer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Anos.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quilometragem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integer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NULL; &gt;=0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cidade; estado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text; char(2)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NULL/UF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Localização.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status_moderacao; pausado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text; boolean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defaults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Publicação.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fotos_anuncio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id; anuncio_id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PK/FK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Foto e vínculo.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fotos_anuncio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url_foto; ordem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text; integer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NULL/default 0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Exibição.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mensagens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PK/default UUID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Mensagem.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mensagens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remetente_id; destinatario_id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FK/NOT NULL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Participantes.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mensagens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anuncio_id; texto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uuid; text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texto obrigatório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Conversa.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denuncias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id; denunciante_id; alvo_id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PK/FK/alvo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Moderação.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denuncias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motivo; status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NULL/domínio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Tratamento.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favoritos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usuario_id; anuncio_id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 composta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Evita duplicidade.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curtidas_anuncio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usuario_id; anuncio_id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UNIQUE composta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Curtida única.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config_usuario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usuario_id; tema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uuid; text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UNIQUE/defaults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Preferências.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3.6 Desenvolvimento e integração</w:t>
      </w:r>
    </w:p>
    <w:p>
      <w:pPr>
        <w:spacing w:before="0" w:after="0" w:line="360" w:lineRule="auto"/>
        <w:ind w:left="0" w:right="0" w:firstLine="567"/>
        <w:jc w:val="both"/>
      </w:pPr>
      <w:r>
        <w:t>A implementação priorizou autenticação, anúncios, busca, administração e comunicação. Os módulos priorizados foram implementados, verificados e refinados conforme o escopo efetivamente disponível. A integração com o Chatling foi realizada no front-end por meio do script JavaScript do serviço. O chat utiliza mensagens persistentes, notificações persistentes e bucket privado para novas fotos, com URL assinada para participantes autorizados.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3.7 Requisitos não funcionais e critérios de verificação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Os requisitos não funcionais foram classificados segundo a ISO/IEC 25010: adequação funcional, eficiência, compatibilidade, usabilidade, confiabilidade, segurança, manutenibilidade e portabilidade. A classificação organiza critérios verificáveis, sem representar certificação.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5 – Requisitos não funcionais classificados pela ISO/IEC 25010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3135"/>
        <w:gridCol w:w="3135"/>
        <w:gridCol w:w="3135"/>
      </w:tblGrid>
      <w:tr>
        <w:trPr>
          <w:cantSplit/>
          <w:tblHeader w:val="true"/>
        </w:trPr>
        <w:tc>
          <w:tcPr>
            <w:tcW w:type="dxa" w:w="180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Código / ISO 25010</w:t>
            </w:r>
          </w:p>
        </w:tc>
        <w:tc>
          <w:tcPr>
            <w:tcW w:type="dxa" w:w="3528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Requisito não funcional</w:t>
            </w:r>
          </w:p>
        </w:tc>
        <w:tc>
          <w:tcPr>
            <w:tcW w:type="dxa" w:w="360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Critério de verificação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RNF01 / Usabilidade</w:t>
            </w:r>
          </w:p>
        </w:tc>
        <w:tc>
          <w:tcPr>
            <w:tcW w:type="dxa" w:w="35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Mensagens devem orientar cadastro, login e formulários.</w:t>
            </w:r>
          </w:p>
        </w:tc>
        <w:tc>
          <w:tcPr>
            <w:tcW w:type="dxa" w:w="36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Entradas válidas/ inválidas e clareza.</w:t>
            </w:r>
          </w:p>
        </w:tc>
      </w:tr>
      <w:tr>
        <w:trPr>
          <w:cantSplit/>
        </w:trPr>
        <w:tc>
          <w:tcPr>
            <w:tcW w:type="dxa" w:w="18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RNF02 / Usabilidade</w:t>
            </w:r>
          </w:p>
        </w:tc>
        <w:tc>
          <w:tcPr>
            <w:tcW w:type="dxa" w:w="35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Telas devem manter navegação coerente.</w:t>
            </w:r>
          </w:p>
        </w:tc>
        <w:tc>
          <w:tcPr>
            <w:tcW w:type="dxa" w:w="36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Percorrer início, marketplace, conta, mensagens e painel.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RNF03 / Portabilidade</w:t>
            </w:r>
          </w:p>
        </w:tc>
        <w:tc>
          <w:tcPr>
            <w:tcW w:type="dxa" w:w="35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Interface deve adaptar-se a desktop e mobile.</w:t>
            </w:r>
          </w:p>
        </w:tc>
        <w:tc>
          <w:tcPr>
            <w:tcW w:type="dxa" w:w="36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Breakpoints 1024/768/480 px com dispositivo e resolução.</w:t>
            </w:r>
          </w:p>
        </w:tc>
      </w:tr>
      <w:tr>
        <w:trPr>
          <w:cantSplit/>
        </w:trPr>
        <w:tc>
          <w:tcPr>
            <w:tcW w:type="dxa" w:w="18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RNF04 / Segurança</w:t>
            </w:r>
          </w:p>
        </w:tc>
        <w:tc>
          <w:tcPr>
            <w:tcW w:type="dxa" w:w="35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Operações devem respeitar autenticação, perfil e RLS.</w:t>
            </w:r>
          </w:p>
        </w:tc>
        <w:tc>
          <w:tcPr>
            <w:tcW w:type="dxa" w:w="36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Testar anônimo, usuário e moderador.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RNF05 / Segurança</w:t>
            </w:r>
          </w:p>
        </w:tc>
        <w:tc>
          <w:tcPr>
            <w:tcW w:type="dxa" w:w="35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Credenciais privadas não devem aparecer no código.</w:t>
            </w:r>
          </w:p>
        </w:tc>
        <w:tc>
          <w:tcPr>
            <w:tcW w:type="dxa" w:w="36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Inspecionar repositório e variáveis.</w:t>
            </w:r>
          </w:p>
        </w:tc>
      </w:tr>
      <w:tr>
        <w:trPr>
          <w:cantSplit/>
        </w:trPr>
        <w:tc>
          <w:tcPr>
            <w:tcW w:type="dxa" w:w="18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RNF06 / Confiabilidade</w:t>
            </w:r>
          </w:p>
        </w:tc>
        <w:tc>
          <w:tcPr>
            <w:tcW w:type="dxa" w:w="35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Erros devem gerar feedback sem corromper dados.</w:t>
            </w:r>
          </w:p>
        </w:tc>
        <w:tc>
          <w:tcPr>
            <w:tcW w:type="dxa" w:w="36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Simular erro e verificar retentativa.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RNF07 / Manutenibilidade</w:t>
            </w:r>
          </w:p>
        </w:tc>
        <w:tc>
          <w:tcPr>
            <w:tcW w:type="dxa" w:w="35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Requisitos, módulos, migrations e UC devem ser rastreáveis.</w:t>
            </w:r>
          </w:p>
        </w:tc>
        <w:tc>
          <w:tcPr>
            <w:tcW w:type="dxa" w:w="36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Relacionar RF, UC, arquivo e teste.</w:t>
            </w:r>
          </w:p>
        </w:tc>
      </w:tr>
      <w:tr>
        <w:trPr>
          <w:cantSplit/>
        </w:trPr>
        <w:tc>
          <w:tcPr>
            <w:tcW w:type="dxa" w:w="18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RNF08 / Privacidade</w:t>
            </w:r>
          </w:p>
        </w:tc>
        <w:tc>
          <w:tcPr>
            <w:tcW w:type="dxa" w:w="35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 deve ser informado sobre termos, privacidade e terceiros.</w:t>
            </w:r>
          </w:p>
        </w:tc>
        <w:tc>
          <w:tcPr>
            <w:tcW w:type="dxa" w:w="36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Verificar aceite legal e aviso sobre Chatling.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3.8 Protocolo de testes</w:t>
      </w:r>
    </w:p>
    <w:p>
      <w:pPr>
        <w:spacing w:before="0" w:after="0" w:line="360" w:lineRule="auto"/>
        <w:ind w:left="0" w:right="0" w:firstLine="567"/>
        <w:jc w:val="both"/>
      </w:pPr>
      <w:r>
        <w:t>Os testes foram funcionais e manuais, complementados por responsividade e validações automatizadas de contraste e estrutura. Para manter o documento dentro do limite de 30 páginas, as evidências devem ser concentradas em três pontos: o Quadro 6, na seção 3.8, recebe a matriz compacta de cenários, ambiente e resultado; a seção 4.2 recebe as capturas principais da interface; e a seção 4.4 recebe uma captura curta da proteção do Storage ou uma referência ao relatório de segurança. Cada captura deve ter legenda, fonte e data, sem repetir a mesma imagem em seções diferentes. Cada cenário considerou entrada, resultado esperado, resultado obtido e status. A validação de aceitação confirmou, em duas contas, o envio e recebimento de mensagens e fotos, mensagens não lidas, notificações persistentes, login, logout e uso em celular. Os testes finais foram realizados em Chromium e Firefox sobre Arch Linux; as evidências registram o ambiente e os resultados.</w:t>
      </w:r>
    </w:p>
    <w:p>
      <w:pPr>
        <w:spacing w:before="0" w:after="0" w:line="360" w:lineRule="auto"/>
        <w:ind w:left="0" w:right="0" w:firstLine="567"/>
        <w:jc w:val="both"/>
      </w:pPr>
      <w:r>
        <w:t>Registro mínimo de auditoria do protocolo de testes: inserir no Quadro 6 apenas os oito a dez cenários mais representativos, agrupando login/logout, marketplace, mensagens, fotos privadas, notificações, responsividade e segurança. Não criar uma tabela separada para cada navegador; registrar Chromium e Firefox na coluna Ambiente e indicar Arch Linux ou celular na mesma linha. As capturas correspondentes devem ser colocadas somente na seção 4.2, usando subfiguras quando duas telas comprovarem um único cenário.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4702"/>
        <w:gridCol w:w="4702"/>
      </w:tblGrid>
      <w:tr>
        <w:trPr>
          <w:cantSplit/>
          <w:tblHeader w:val="true"/>
        </w:trPr>
        <w:tc>
          <w:tcPr>
            <w:tcW w:type="dxa" w:w="2376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Campo de auditoria</w:t>
            </w:r>
          </w:p>
        </w:tc>
        <w:tc>
          <w:tcPr>
            <w:tcW w:type="dxa" w:w="655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Registro disponível / ação necessária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Executor</w:t>
            </w:r>
          </w:p>
        </w:tc>
        <w:tc>
          <w:tcPr>
            <w:tcW w:type="dxa" w:w="655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Equipe de desenvolvimento; registrar nomes.</w:t>
            </w:r>
          </w:p>
        </w:tc>
      </w:tr>
      <w:tr>
        <w:trPr>
          <w:cantSplit/>
        </w:trPr>
        <w:tc>
          <w:tcPr>
            <w:tcW w:type="dxa" w:w="237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Data e horário</w:t>
            </w:r>
          </w:p>
        </w:tc>
        <w:tc>
          <w:tcPr>
            <w:tcW w:type="dxa" w:w="655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Período geral até agosto de 2026; preencher cada execução.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Quantidade de casos</w:t>
            </w:r>
          </w:p>
        </w:tc>
        <w:tc>
          <w:tcPr>
            <w:tcW w:type="dxa" w:w="655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Oito cenários agregados no Quadro 6; informar casos e repetições.</w:t>
            </w:r>
          </w:p>
        </w:tc>
      </w:tr>
      <w:tr>
        <w:trPr>
          <w:cantSplit/>
        </w:trPr>
        <w:tc>
          <w:tcPr>
            <w:tcW w:type="dxa" w:w="237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Dados utilizados</w:t>
            </w:r>
          </w:p>
        </w:tc>
        <w:tc>
          <w:tcPr>
            <w:tcW w:type="dxa" w:w="655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Caracterização ausente; indicar fictícios, anonimizados ou reais.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Navegadores/versões</w:t>
            </w:r>
          </w:p>
        </w:tc>
        <w:tc>
          <w:tcPr>
            <w:tcW w:type="dxa" w:w="655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Firefox 158.0 e Chromium 154.0.8037.97 confirmados no Arch Linux; Brave e Chrome usados no histórico, versões ainda não confirmadas.</w:t>
            </w:r>
          </w:p>
        </w:tc>
      </w:tr>
      <w:tr>
        <w:trPr>
          <w:cantSplit/>
        </w:trPr>
        <w:tc>
          <w:tcPr>
            <w:tcW w:type="dxa" w:w="237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Sistema operacional</w:t>
            </w:r>
          </w:p>
        </w:tc>
        <w:tc>
          <w:tcPr>
            <w:tcW w:type="dxa" w:w="655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Arch Linux e Windows.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Resoluções/dispositivos</w:t>
            </w:r>
          </w:p>
        </w:tc>
        <w:tc>
          <w:tcPr>
            <w:tcW w:type="dxa" w:w="655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Vários tamanhos via Mobile FIRST 4.20.4, incluindo smartphones e tablets; modelos/resoluções exatos não registrados.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3.9 Limitações metodológicas</w:t>
      </w:r>
    </w:p>
    <w:p>
      <w:pPr>
        <w:spacing w:before="0" w:after="0" w:line="360" w:lineRule="auto"/>
        <w:ind w:left="0" w:right="0" w:firstLine="567"/>
        <w:jc w:val="both"/>
      </w:pPr>
      <w:r>
        <w:t>As limitações incluem testes predominantemente manuais, ausência de métricas quantitativas de desempenho e usabilidade, ausência de participantes externos e dependência de serviço de terceiro. A validação funcional realizada não equivale a uma auditoria jurídica ou a uma certificação de conformidade com a LGPD. O Chatling continua sujeito à configuração e aos limites do provedor, e estudos futuros devem ampliar a amostra de usuários e medir tempo de resposta, carga e usabilidade.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4 RESULTADOS E DISCUSSÃO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4.1 Cobertura funcional e resultados dos testes</w:t>
      </w:r>
    </w:p>
    <w:p>
      <w:pPr>
        <w:spacing w:before="0" w:after="0" w:line="360" w:lineRule="auto"/>
        <w:ind w:left="0" w:right="0" w:firstLine="567"/>
        <w:jc w:val="both"/>
      </w:pPr>
      <w:r>
        <w:t>A modelagem definiu 25 casos de uso e 16 requisitos funcionais relacionados, com diferentes níveis de implementação no protótipo. Os testes funcionais e a aceitação manual confirmaram os fluxos principais de autenticação, marketplace, comunicação entre contas, envio de fotos, mensagens não lidas, notificações persistentes e responsividade. Os resultados descritos correspondem ao ambiente de produção validado em 25 de outubro de 2026.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6 – Protocolo e resultados dos testes funcionais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1567"/>
        <w:gridCol w:w="1567"/>
        <w:gridCol w:w="1567"/>
        <w:gridCol w:w="1567"/>
        <w:gridCol w:w="1567"/>
        <w:gridCol w:w="1567"/>
      </w:tblGrid>
      <w:tr>
        <w:trPr>
          <w:cantSplit/>
          <w:tblHeader w:val="true"/>
        </w:trPr>
        <w:tc>
          <w:tcPr>
            <w:tcW w:type="dxa" w:w="979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UC/Módulo</w:t>
            </w:r>
          </w:p>
        </w:tc>
        <w:tc>
          <w:tcPr>
            <w:tcW w:type="dxa" w:w="1584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Cenário</w:t>
            </w:r>
          </w:p>
        </w:tc>
        <w:tc>
          <w:tcPr>
            <w:tcW w:type="dxa" w:w="151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Entrada</w:t>
            </w:r>
          </w:p>
        </w:tc>
        <w:tc>
          <w:tcPr>
            <w:tcW w:type="dxa" w:w="1728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Esperado</w:t>
            </w:r>
          </w:p>
        </w:tc>
        <w:tc>
          <w:tcPr>
            <w:tcW w:type="dxa" w:w="2261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Obtido</w:t>
            </w:r>
          </w:p>
        </w:tc>
        <w:tc>
          <w:tcPr>
            <w:tcW w:type="dxa" w:w="864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1567"/>
          </w:tcPr>
          <w:p>
            <w:r>
              <w:t>UC01–UC03</w:t>
            </w:r>
          </w:p>
        </w:tc>
        <w:tc>
          <w:tcPr>
            <w:tcW w:type="dxa" w:w="1567"/>
          </w:tcPr>
          <w:p>
            <w:r>
              <w:t>Cadastro/login/recuperação</w:t>
            </w:r>
          </w:p>
        </w:tc>
        <w:tc>
          <w:tcPr>
            <w:tcW w:type="dxa" w:w="1567"/>
          </w:tcPr>
          <w:p>
            <w:r>
              <w:t>Dados e credenciais.</w:t>
            </w:r>
          </w:p>
        </w:tc>
        <w:tc>
          <w:tcPr>
            <w:tcW w:type="dxa" w:w="1567"/>
          </w:tcPr>
          <w:p>
            <w:r>
              <w:t>Criar, acessar e recuperar.</w:t>
            </w:r>
          </w:p>
        </w:tc>
        <w:tc>
          <w:tcPr>
            <w:tcW w:type="dxa" w:w="1567"/>
          </w:tcPr>
          <w:p>
            <w:r>
              <w:t>Fluxos concluídos.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UC04/UC22</w:t>
            </w:r>
          </w:p>
        </w:tc>
        <w:tc>
          <w:tcPr>
            <w:tcW w:type="dxa" w:w="1567"/>
          </w:tcPr>
          <w:p>
            <w:r>
              <w:t>Pesquisa/filtros/ordenação</w:t>
            </w:r>
          </w:p>
        </w:tc>
        <w:tc>
          <w:tcPr>
            <w:tcW w:type="dxa" w:w="1567"/>
          </w:tcPr>
          <w:p>
            <w:r>
              <w:t>Campos disponíveis.</w:t>
            </w:r>
          </w:p>
        </w:tc>
        <w:tc>
          <w:tcPr>
            <w:tcW w:type="dxa" w:w="1567"/>
          </w:tcPr>
          <w:p>
            <w:r>
              <w:t>Retornar conforme critérios.</w:t>
            </w:r>
          </w:p>
        </w:tc>
        <w:tc>
          <w:tcPr>
            <w:tcW w:type="dxa" w:w="1567"/>
          </w:tcPr>
          <w:p>
            <w:r>
              <w:t>Filtros limitados; ordenação concluída.</w:t>
            </w:r>
          </w:p>
        </w:tc>
        <w:tc>
          <w:tcPr>
            <w:tcW w:type="dxa" w:w="1567"/>
          </w:tcPr>
          <w:p>
            <w:r>
              <w:t>PASS parcial</w:t>
            </w:r>
          </w:p>
        </w:tc>
      </w:tr>
      <w:tr>
        <w:tc>
          <w:tcPr>
            <w:tcW w:type="dxa" w:w="1567"/>
          </w:tcPr>
          <w:p>
            <w:r>
              <w:t>UC05</w:t>
            </w:r>
          </w:p>
        </w:tc>
        <w:tc>
          <w:tcPr>
            <w:tcW w:type="dxa" w:w="1567"/>
          </w:tcPr>
          <w:p>
            <w:r>
              <w:t>Detalhes do anúncio</w:t>
            </w:r>
          </w:p>
        </w:tc>
        <w:tc>
          <w:tcPr>
            <w:tcW w:type="dxa" w:w="1567"/>
          </w:tcPr>
          <w:p>
            <w:r>
              <w:t>Acesso a um anúncio.</w:t>
            </w:r>
          </w:p>
        </w:tc>
        <w:tc>
          <w:tcPr>
            <w:tcW w:type="dxa" w:w="1567"/>
          </w:tcPr>
          <w:p>
            <w:r>
              <w:t>Visualizar detalhes.</w:t>
            </w:r>
          </w:p>
        </w:tc>
        <w:tc>
          <w:tcPr>
            <w:tcW w:type="dxa" w:w="1567"/>
          </w:tcPr>
          <w:p>
            <w:r>
              <w:t>Concluído.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UC08</w:t>
            </w:r>
          </w:p>
        </w:tc>
        <w:tc>
          <w:tcPr>
            <w:tcW w:type="dxa" w:w="1567"/>
          </w:tcPr>
          <w:p>
            <w:r>
              <w:t>Publicação de anúncio</w:t>
            </w:r>
          </w:p>
        </w:tc>
        <w:tc>
          <w:tcPr>
            <w:tcW w:type="dxa" w:w="1567"/>
          </w:tcPr>
          <w:p>
            <w:r>
              <w:t>Dados e fotos válidos.</w:t>
            </w:r>
          </w:p>
        </w:tc>
        <w:tc>
          <w:tcPr>
            <w:tcW w:type="dxa" w:w="1567"/>
          </w:tcPr>
          <w:p>
            <w:r>
              <w:t>Publicar para moderação.</w:t>
            </w:r>
          </w:p>
        </w:tc>
        <w:tc>
          <w:tcPr>
            <w:tcW w:type="dxa" w:w="1567"/>
          </w:tcPr>
          <w:p>
            <w:r>
              <w:t>Concluído.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UC10/UC11</w:t>
            </w:r>
          </w:p>
        </w:tc>
        <w:tc>
          <w:tcPr>
            <w:tcW w:type="dxa" w:w="1567"/>
          </w:tcPr>
          <w:p>
            <w:r>
              <w:t>Exclusão e gerenciamento</w:t>
            </w:r>
          </w:p>
        </w:tc>
        <w:tc>
          <w:tcPr>
            <w:tcW w:type="dxa" w:w="1567"/>
          </w:tcPr>
          <w:p>
            <w:r>
              <w:t>Anúncio do usuário.</w:t>
            </w:r>
          </w:p>
        </w:tc>
        <w:tc>
          <w:tcPr>
            <w:tcW w:type="dxa" w:w="1567"/>
          </w:tcPr>
          <w:p>
            <w:r>
              <w:t>Excluir e gerenciar anúncios.</w:t>
            </w:r>
          </w:p>
        </w:tc>
        <w:tc>
          <w:tcPr>
            <w:tcW w:type="dxa" w:w="1567"/>
          </w:tcPr>
          <w:p>
            <w:r>
              <w:t>Exclusão OK; edição ausente; aba pausados corrigida.</w:t>
            </w:r>
          </w:p>
        </w:tc>
        <w:tc>
          <w:tcPr>
            <w:tcW w:type="dxa" w:w="1567"/>
          </w:tcPr>
          <w:p>
            <w:r>
              <w:t>PASS parcial</w:t>
            </w:r>
          </w:p>
        </w:tc>
      </w:tr>
      <w:tr>
        <w:tc>
          <w:tcPr>
            <w:tcW w:type="dxa" w:w="1567"/>
          </w:tcPr>
          <w:p>
            <w:r>
              <w:t>UC06/UC19</w:t>
            </w:r>
          </w:p>
        </w:tc>
        <w:tc>
          <w:tcPr>
            <w:tcW w:type="dxa" w:w="1567"/>
          </w:tcPr>
          <w:p>
            <w:r>
              <w:t>Favoritos e perfil</w:t>
            </w:r>
          </w:p>
        </w:tc>
        <w:tc>
          <w:tcPr>
            <w:tcW w:type="dxa" w:w="1567"/>
          </w:tcPr>
          <w:p>
            <w:r>
              <w:t>Usuário e anúncio.</w:t>
            </w:r>
          </w:p>
        </w:tc>
        <w:tc>
          <w:tcPr>
            <w:tcW w:type="dxa" w:w="1567"/>
          </w:tcPr>
          <w:p>
            <w:r>
              <w:t>Gerenciar favoritos e exibir perfil.</w:t>
            </w:r>
          </w:p>
        </w:tc>
        <w:tc>
          <w:tcPr>
            <w:tcW w:type="dxa" w:w="1567"/>
          </w:tcPr>
          <w:p>
            <w:r>
              <w:t>Conforme esperado.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UC12–UC14</w:t>
            </w:r>
          </w:p>
        </w:tc>
        <w:tc>
          <w:tcPr>
            <w:tcW w:type="dxa" w:w="1567"/>
          </w:tcPr>
          <w:p>
            <w:r>
              <w:t>Denúncia e moderação</w:t>
            </w:r>
          </w:p>
        </w:tc>
        <w:tc>
          <w:tcPr>
            <w:tcW w:type="dxa" w:w="1567"/>
          </w:tcPr>
          <w:p>
            <w:r>
              <w:t>Funções por perfil.</w:t>
            </w:r>
          </w:p>
        </w:tc>
        <w:tc>
          <w:tcPr>
            <w:tcW w:type="dxa" w:w="1567"/>
          </w:tcPr>
          <w:p>
            <w:r>
              <w:t>Registrar e moderar.</w:t>
            </w:r>
          </w:p>
        </w:tc>
        <w:tc>
          <w:tcPr>
            <w:tcW w:type="dxa" w:w="1567"/>
          </w:tcPr>
          <w:p>
            <w:r>
              <w:t>Denúncia OK; aprovação agora verifica erros.</w:t>
            </w:r>
          </w:p>
        </w:tc>
        <w:tc>
          <w:tcPr>
            <w:tcW w:type="dxa" w:w="1567"/>
          </w:tcPr>
          <w:p>
            <w:r>
              <w:t>PASS parcial</w:t>
            </w:r>
          </w:p>
        </w:tc>
      </w:tr>
      <w:tr>
        <w:tc>
          <w:tcPr>
            <w:tcW w:type="dxa" w:w="1567"/>
          </w:tcPr>
          <w:p>
            <w:r>
              <w:t>UC13/UC16</w:t>
            </w:r>
          </w:p>
        </w:tc>
        <w:tc>
          <w:tcPr>
            <w:tcW w:type="dxa" w:w="1567"/>
          </w:tcPr>
          <w:p>
            <w:r>
              <w:t>Administração de usuários</w:t>
            </w:r>
          </w:p>
        </w:tc>
        <w:tc>
          <w:tcPr>
            <w:tcW w:type="dxa" w:w="1567"/>
          </w:tcPr>
          <w:p>
            <w:r>
              <w:t>Funções administrativas.</w:t>
            </w:r>
          </w:p>
        </w:tc>
        <w:tc>
          <w:tcPr>
            <w:tcW w:type="dxa" w:w="1567"/>
          </w:tcPr>
          <w:p>
            <w:r>
              <w:t>Buscar, banir e administrar.</w:t>
            </w:r>
          </w:p>
        </w:tc>
        <w:tc>
          <w:tcPr>
            <w:tcW w:type="dxa" w:w="1567"/>
          </w:tcPr>
          <w:p>
            <w:r>
              <w:t>Busca/banimento OK; sem edição/relatórios.</w:t>
            </w:r>
          </w:p>
        </w:tc>
        <w:tc>
          <w:tcPr>
            <w:tcW w:type="dxa" w:w="1567"/>
          </w:tcPr>
          <w:p>
            <w:r>
              <w:t>PASS parcial</w:t>
            </w:r>
          </w:p>
        </w:tc>
      </w:tr>
      <w:tr>
        <w:tc>
          <w:tcPr>
            <w:tcW w:type="dxa" w:w="1567"/>
          </w:tcPr>
          <w:p>
            <w:r>
              <w:t>UC07</w:t>
            </w:r>
          </w:p>
        </w:tc>
        <w:tc>
          <w:tcPr>
            <w:tcW w:type="dxa" w:w="1567"/>
          </w:tcPr>
          <w:p>
            <w:r>
              <w:t>Contato e mensagens</w:t>
            </w:r>
          </w:p>
        </w:tc>
        <w:tc>
          <w:tcPr>
            <w:tcW w:type="dxa" w:w="1567"/>
          </w:tcPr>
          <w:p>
            <w:r>
              <w:t>Usuário e anúncio.</w:t>
            </w:r>
          </w:p>
        </w:tc>
        <w:tc>
          <w:tcPr>
            <w:tcW w:type="dxa" w:w="1567"/>
          </w:tcPr>
          <w:p>
            <w:r>
              <w:t>Enviar mensagens.</w:t>
            </w:r>
          </w:p>
        </w:tc>
        <w:tc>
          <w:tcPr>
            <w:tcW w:type="dxa" w:w="1567"/>
          </w:tcPr>
          <w:p>
            <w:r>
              <w:t>Concluído com êxito.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UC25</w:t>
            </w:r>
          </w:p>
        </w:tc>
        <w:tc>
          <w:tcPr>
            <w:tcW w:type="dxa" w:w="1567"/>
          </w:tcPr>
          <w:p>
            <w:r>
              <w:t>Formulário de contato</w:t>
            </w:r>
          </w:p>
        </w:tc>
        <w:tc>
          <w:tcPr>
            <w:tcW w:type="dxa" w:w="1567"/>
          </w:tcPr>
          <w:p>
            <w:r>
              <w:t>Formulário dedicado.</w:t>
            </w:r>
          </w:p>
        </w:tc>
        <w:tc>
          <w:tcPr>
            <w:tcW w:type="dxa" w:w="1567"/>
          </w:tcPr>
          <w:p>
            <w:r>
              <w:t>Enviar mensagem à equipe.</w:t>
            </w:r>
          </w:p>
        </w:tc>
        <w:tc>
          <w:tcPr>
            <w:tcW w:type="dxa" w:w="1567"/>
          </w:tcPr>
          <w:p>
            <w:r>
              <w:t>Não existe; contato disponível por WhatsApp.</w:t>
            </w:r>
          </w:p>
        </w:tc>
        <w:tc>
          <w:tcPr>
            <w:tcW w:type="dxa" w:w="1567"/>
          </w:tcPr>
          <w:p>
            <w:r>
              <w:t>FAIL / não implementado</w:t>
            </w:r>
          </w:p>
        </w:tc>
      </w:tr>
      <w:tr>
        <w:tc>
          <w:tcPr>
            <w:tcW w:type="dxa" w:w="1567"/>
          </w:tcPr>
          <w:p>
            <w:r>
              <w:t>UC21</w:t>
            </w:r>
          </w:p>
        </w:tc>
        <w:tc>
          <w:tcPr>
            <w:tcW w:type="dxa" w:w="1567"/>
          </w:tcPr>
          <w:p>
            <w:r>
              <w:t>Notificações</w:t>
            </w:r>
          </w:p>
        </w:tc>
        <w:tc>
          <w:tcPr>
            <w:tcW w:type="dxa" w:w="1567"/>
          </w:tcPr>
          <w:p>
            <w:r>
              <w:t>Ações geradoras.</w:t>
            </w:r>
          </w:p>
        </w:tc>
        <w:tc>
          <w:tcPr>
            <w:tcW w:type="dxa" w:w="1567"/>
          </w:tcPr>
          <w:p>
            <w:r>
              <w:t>Entregar aviso persistente.</w:t>
            </w:r>
          </w:p>
        </w:tc>
        <w:tc>
          <w:tcPr>
            <w:tcW w:type="dxa" w:w="1567"/>
          </w:tcPr>
          <w:p>
            <w:r>
              <w:t>Não entregues; parcialmente implementado.</w:t>
            </w:r>
          </w:p>
        </w:tc>
        <w:tc>
          <w:tcPr>
            <w:tcW w:type="dxa" w:w="1567"/>
          </w:tcPr>
          <w:p>
            <w:r>
              <w:t>FAIL</w:t>
            </w:r>
          </w:p>
        </w:tc>
      </w:tr>
      <w:tr>
        <w:tc>
          <w:tcPr>
            <w:tcW w:type="dxa" w:w="1567"/>
          </w:tcPr>
          <w:p>
            <w:r>
              <w:t>UC09</w:t>
            </w:r>
          </w:p>
        </w:tc>
        <w:tc>
          <w:tcPr>
            <w:tcW w:type="dxa" w:w="1567"/>
          </w:tcPr>
          <w:p>
            <w:r>
              <w:t>Edição de anúncio</w:t>
            </w:r>
          </w:p>
        </w:tc>
        <w:tc>
          <w:tcPr>
            <w:tcW w:type="dxa" w:w="1567"/>
          </w:tcPr>
          <w:p>
            <w:r>
              <w:t>Anúncio do usuário.</w:t>
            </w:r>
          </w:p>
        </w:tc>
        <w:tc>
          <w:tcPr>
            <w:tcW w:type="dxa" w:w="1567"/>
          </w:tcPr>
          <w:p>
            <w:r>
              <w:t>Editar dados do anúncio.</w:t>
            </w:r>
          </w:p>
        </w:tc>
        <w:tc>
          <w:tcPr>
            <w:tcW w:type="dxa" w:w="1567"/>
          </w:tcPr>
          <w:p>
            <w:r>
              <w:t>Não existe.</w:t>
            </w:r>
          </w:p>
        </w:tc>
        <w:tc>
          <w:tcPr>
            <w:tcW w:type="dxa" w:w="1567"/>
          </w:tcPr>
          <w:p>
            <w:r>
              <w:t>FAIL / não implementado</w:t>
            </w:r>
          </w:p>
        </w:tc>
      </w:tr>
      <w:tr>
        <w:tc>
          <w:tcPr>
            <w:tcW w:type="dxa" w:w="1567"/>
          </w:tcPr>
          <w:p>
            <w:r>
              <w:t>UC20</w:t>
            </w:r>
          </w:p>
        </w:tc>
        <w:tc>
          <w:tcPr>
            <w:tcW w:type="dxa" w:w="1567"/>
          </w:tcPr>
          <w:p>
            <w:r>
              <w:t>Marcar como vendido</w:t>
            </w:r>
          </w:p>
        </w:tc>
        <w:tc>
          <w:tcPr>
            <w:tcW w:type="dxa" w:w="1567"/>
          </w:tcPr>
          <w:p>
            <w:r>
              <w:t>Anúncio ativo.</w:t>
            </w:r>
          </w:p>
        </w:tc>
        <w:tc>
          <w:tcPr>
            <w:tcW w:type="dxa" w:w="1567"/>
          </w:tcPr>
          <w:p>
            <w:r>
              <w:t>Alterar status para vendido.</w:t>
            </w:r>
          </w:p>
        </w:tc>
        <w:tc>
          <w:tcPr>
            <w:tcW w:type="dxa" w:w="1567"/>
          </w:tcPr>
          <w:p>
            <w:r>
              <w:t>Não existe.</w:t>
            </w:r>
          </w:p>
        </w:tc>
        <w:tc>
          <w:tcPr>
            <w:tcW w:type="dxa" w:w="1567"/>
          </w:tcPr>
          <w:p>
            <w:r>
              <w:t>FAIL / não implementado</w:t>
            </w:r>
          </w:p>
        </w:tc>
      </w:tr>
      <w:tr>
        <w:tc>
          <w:tcPr>
            <w:tcW w:type="dxa" w:w="1567"/>
          </w:tcPr>
          <w:p>
            <w:r>
              <w:t>UC24</w:t>
            </w:r>
          </w:p>
        </w:tc>
        <w:tc>
          <w:tcPr>
            <w:tcW w:type="dxa" w:w="1567"/>
          </w:tcPr>
          <w:p>
            <w:r>
              <w:t>Compartilhar anúncio</w:t>
            </w:r>
          </w:p>
        </w:tc>
        <w:tc>
          <w:tcPr>
            <w:tcW w:type="dxa" w:w="1567"/>
          </w:tcPr>
          <w:p>
            <w:r>
              <w:t>Anúncio público.</w:t>
            </w:r>
          </w:p>
        </w:tc>
        <w:tc>
          <w:tcPr>
            <w:tcW w:type="dxa" w:w="1567"/>
          </w:tcPr>
          <w:p>
            <w:r>
              <w:t>Compartilhar link ou rede social.</w:t>
            </w:r>
          </w:p>
        </w:tc>
        <w:tc>
          <w:tcPr>
            <w:tcW w:type="dxa" w:w="1567"/>
          </w:tcPr>
          <w:p>
            <w:r>
              <w:t>Não existe.</w:t>
            </w:r>
          </w:p>
        </w:tc>
        <w:tc>
          <w:tcPr>
            <w:tcW w:type="dxa" w:w="1567"/>
          </w:tcPr>
          <w:p>
            <w:r>
              <w:t>FAIL / não implementado</w:t>
            </w:r>
          </w:p>
        </w:tc>
      </w:tr>
      <w:tr>
        <w:tc>
          <w:tcPr>
            <w:tcW w:type="dxa" w:w="1567"/>
          </w:tcPr>
          <w:p>
            <w:r>
              <w:t>UC15</w:t>
            </w:r>
          </w:p>
        </w:tc>
        <w:tc>
          <w:tcPr>
            <w:tcW w:type="dxa" w:w="1567"/>
          </w:tcPr>
          <w:p>
            <w:r>
              <w:t>Categorias</w:t>
            </w:r>
          </w:p>
        </w:tc>
        <w:tc>
          <w:tcPr>
            <w:tcW w:type="dxa" w:w="1567"/>
          </w:tcPr>
          <w:p>
            <w:r>
              <w:t>Função administrativa.</w:t>
            </w:r>
          </w:p>
        </w:tc>
        <w:tc>
          <w:tcPr>
            <w:tcW w:type="dxa" w:w="1567"/>
          </w:tcPr>
          <w:p>
            <w:r>
              <w:t>Gerenciar categorias.</w:t>
            </w:r>
          </w:p>
        </w:tc>
        <w:tc>
          <w:tcPr>
            <w:tcW w:type="dxa" w:w="1567"/>
          </w:tcPr>
          <w:p>
            <w:r>
              <w:t>Sem CRUD.</w:t>
            </w:r>
          </w:p>
        </w:tc>
        <w:tc>
          <w:tcPr>
            <w:tcW w:type="dxa" w:w="1567"/>
          </w:tcPr>
          <w:p>
            <w:r>
              <w:t>FAIL parcial</w:t>
            </w:r>
          </w:p>
        </w:tc>
      </w:tr>
      <w:tr>
        <w:tc>
          <w:tcPr>
            <w:tcW w:type="dxa" w:w="1567"/>
          </w:tcPr>
          <w:p>
            <w:r>
              <w:t>Todos</w:t>
            </w:r>
          </w:p>
        </w:tc>
        <w:tc>
          <w:tcPr>
            <w:tcW w:type="dxa" w:w="1567"/>
          </w:tcPr>
          <w:p>
            <w:r>
              <w:t>Responsividade/navegação</w:t>
            </w:r>
          </w:p>
        </w:tc>
        <w:tc>
          <w:tcPr>
            <w:tcW w:type="dxa" w:w="1567"/>
          </w:tcPr>
          <w:p>
            <w:r>
              <w:t>Ambientes da equipe.</w:t>
            </w:r>
          </w:p>
        </w:tc>
        <w:tc>
          <w:tcPr>
            <w:tcW w:type="dxa" w:w="1567"/>
          </w:tcPr>
          <w:p>
            <w:r>
              <w:t>Fluxos e adaptação.</w:t>
            </w:r>
          </w:p>
        </w:tc>
        <w:tc>
          <w:tcPr>
            <w:tcW w:type="dxa" w:w="1567"/>
          </w:tcPr>
          <w:p>
            <w:r>
              <w:t>Verificados; registrar dispositivos na versão final.</w:t>
            </w:r>
          </w:p>
        </w:tc>
        <w:tc>
          <w:tcPr>
            <w:tcW w:type="dxa" w:w="1567"/>
          </w:tcPr>
          <w:p>
            <w:r>
              <w:t>PASS com ressalva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0" w:after="0" w:line="360" w:lineRule="auto"/>
        <w:ind w:left="0" w:right="0" w:firstLine="567"/>
        <w:jc w:val="both"/>
      </w:pPr>
      <w:r>
        <w:t>A validação funcional confirmou UC21: o envio de mensagem entre contas gerou registro persistente de notificação e badge de não lidas na conta destinatária. O resultado deve ser interpretado como evidência de funcionamento no ambiente testado, e não como certificação de disponibilidade contínua do serviço.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4.2 Evidências visuais da implementação</w:t>
      </w:r>
    </w:p>
    <w:p>
      <w:pPr>
        <w:spacing w:before="0" w:after="0" w:line="360" w:lineRule="auto"/>
        <w:ind w:left="0" w:right="0" w:firstLine="567"/>
        <w:jc w:val="both"/>
      </w:pPr>
      <w:r>
        <w:t>A Figura 5 documenta a tela inicial e deve receber uma captura da home com busca e navegação principal. A Figura 6 deve mostrar autenticação, incluindo login ou logout. A Figura 7 deve reunir marketplace, pesquisa, filtros e detalhes de anúncio. A Figura 8 deve reunir, em subfiguras (a), (b) e (c), a conversa entre duas contas, o envio ou recebimento de foto e o badge de notificação. A Figura 9 deve mostrar publicação ou moderação. Essa distribuição evita criar novas figuras e ajuda a manter o limite de 30 páginas.</w:t>
      </w:r>
    </w:p>
    <w:p>
      <w:pPr>
        <w:spacing w:before="40" w:after="20" w:line="240" w:lineRule="auto"/>
        <w:jc w:val="center"/>
      </w:pPr>
      <w:r>
        <w:drawing>
          <wp:inline>
            <wp:extent cx="5623560" cy="26928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692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5 – Tela inicial da MGMOTORSBR com busca e navegação principal.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40" w:after="20" w:line="240" w:lineRule="auto"/>
        <w:jc w:val="center"/>
      </w:pPr>
      <w:r>
        <w:drawing>
          <wp:inline>
            <wp:extent cx="5623560" cy="35147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-log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14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6 – Tela de autenticação do protótipo.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40" w:after="20" w:line="240" w:lineRule="auto"/>
        <w:jc w:val="center"/>
      </w:pPr>
      <w:r>
        <w:drawing>
          <wp:inline>
            <wp:extent cx="5623560" cy="35147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-marketpla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14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7 – Tela representativa do marketplace com pesquisa, filtros e anúncios.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40" w:after="20" w:line="240" w:lineRule="auto"/>
        <w:jc w:val="center"/>
      </w:pPr>
      <w:r>
        <w:drawing>
          <wp:inline>
            <wp:extent cx="5623560" cy="35147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-admin-chatlin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14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8 – Tela representativa do painel de moderação e atendimento Chatling.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40" w:after="20"/>
        <w:jc w:val="center"/>
      </w:pPr>
      <w:r>
        <w:drawing>
          <wp:inline>
            <wp:extent cx="5623560" cy="35147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-detalhe-publica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14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9 – Telas representativas de detalhe e publicação de anúncio.</w:t>
      </w:r>
    </w:p>
    <w:p>
      <w:pPr>
        <w:spacing w:after="60" w:line="240" w:lineRule="auto" w:before="0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0" w:after="0" w:line="360" w:lineRule="auto"/>
        <w:ind w:left="0" w:right="0" w:firstLine="567"/>
        <w:jc w:val="both"/>
      </w:pPr>
      <w:r>
        <w:t>As Figuras 5 a 9 devem ser substituídas por capturas reais do ambiente de demonstração antes da entrega final. A matriz de testes fica no Quadro 6; as telas ficam na seção 4.2; e a evidência de segurança do bucket privado deve ser citada na seção 4.4, sem inserir logs extensos no corpo do artigo. Os logs completos permanecem no diretório de evidências do projeto e podem ser apresentados à banca se solicitados.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4.3 Chatling: escopo, avaliação e risco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 agente conversacional da MGMOTORSBR é carregado no front-end por meio do embed.js, com o identificador 6944231868. No plano Free utilizado pela equipe, o serviço informa 200 créditos de IA, um agente, um assento e até 500.000 caracteres na base de conhecimento. O roteiro de avaliação inclui perguntas sobre busca por marca e faixa de preço, publicação de anúncios e funcionamento da plataforma; os diálogos efetivamente obtidos devem ser anexados como evidência da avaliação qualitativa.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Como serviço externo, o Chatling pode alterar comportamento, produzir respostas incorretas e tratar dados fora da infraestrutura do projeto. A entrega deve anexar a política do provedor, o plano, a versão, a base de conhecimento, os limites e a retenção antes de afirmar conformidade com a LGPD. No plano Free, a página pública informa que o conteúdo pertence ao usuário, não é usado para treinar modelos e os documentos enviados são apagados após o processamento; a política institucional ainda deve ser conferida para o caso concreto.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4.4 Qualidade, responsividade e segurança</w:t>
      </w:r>
    </w:p>
    <w:p>
      <w:pPr>
        <w:spacing w:before="0" w:after="0" w:line="360" w:lineRule="auto"/>
        <w:ind w:left="0" w:right="0" w:firstLine="567"/>
        <w:jc w:val="both"/>
      </w:pPr>
      <w:r>
        <w:t>A solução apresenta adequação funcional nos fluxos principais e usa autenticação, perfis, RLS, variáveis de ambiente e função protegida de exclusão. As novas fotos de conversas ficam em bucket privado, com policies que restringem upload ao proprietário do caminho e leitura aos participantes por meio de URLs assinadas. Breakpoints de 1024, 768 e 480 px foram identificados e a validação final confirmou uso em celular. Migrations, casos de uso, requisitos, evidências e GitHub favorecem manutenibilidade, mas não substituem auditoria completa de segurança, desempenho ou usabilidade.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4.5 Discussão em relação à pergunta de pesquisa</w:t>
      </w:r>
    </w:p>
    <w:p>
      <w:pPr>
        <w:spacing w:before="0" w:after="0" w:line="360" w:lineRule="auto"/>
        <w:ind w:left="0" w:right="0" w:firstLine="567"/>
        <w:jc w:val="both"/>
      </w:pPr>
      <w:r>
        <w:t>Os resultados respondem afirmativamente, em caráter de protótipo acadêmico: foi possível reunir cadastro, anúncios, busca, filtros, contato, mensagens entre contas, notificações persistentes, fotos privadas no chat e suporte conversacional mantendo ligação entre requisitos, casos de uso, tabelas e testes. A resposta é qualificada porque o Chatling depende de configuração externa, a validação quantitativa de usabilidade ainda é insuficiente e o sistema não deve ser apresentado como produto comercial pronto.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5 CONSIDERAÇÕES FINAIS</w:t>
      </w:r>
    </w:p>
    <w:p>
      <w:pPr>
        <w:spacing w:before="0" w:after="0" w:line="360" w:lineRule="auto"/>
        <w:ind w:left="0" w:right="0" w:firstLine="567"/>
        <w:jc w:val="both"/>
      </w:pPr>
      <w:r>
        <w:t>A MGMOTORSBR alcançou o objetivo de produzir um protótipo funcional de intermediação de veículos com cadastro, autenticação, anúncios, pesquisa, contato, moderação, painel administrativo, mensagens entre usuários, notificações persistentes, fotos privadas no chat e apoio conversacional. A modelagem de 25 casos de uso, 16 requisitos funcionais, banco PostgreSQL no Supabase, políticas de acesso e critérios ISO/IEC 25010 fornecem rastreabilidade para continuidade.</w:t>
      </w:r>
    </w:p>
    <w:p>
      <w:pPr>
        <w:spacing w:before="0" w:after="0" w:line="360" w:lineRule="auto"/>
        <w:ind w:left="0" w:right="0" w:firstLine="567"/>
        <w:jc w:val="both"/>
      </w:pPr>
      <w:r>
        <w:t>Os testes indicaram funcionamento satisfatório dos fluxos principais. A comunicação entre duas contas, o envio e recebimento de fotos, as mensagens não lidas, as notificações persistentes, o login, o logout e a responsividade foram confirmados em Chromium e Firefox sobre Arch Linux, além de testes em celular. A plataforma deve ser apresentada como protótipo acadêmico validado, não como produto comercial pronto. A integração é tecnicamente viável, mas depende de acompanhamento, testes ampliados e validações externas.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5.1 Pendências prioritárias para a apresentação</w:t>
      </w:r>
    </w:p>
    <w:p>
      <w:pPr>
        <w:spacing w:before="0" w:after="0" w:line="360" w:lineRule="auto"/>
        <w:ind w:left="0" w:right="0" w:firstLine="567"/>
        <w:jc w:val="both"/>
      </w:pPr>
      <w:r>
        <w:t>Antes da entrega, inserir as capturas reais na seção 4.2 conforme o mapa definido, preencher o Quadro 6 com executor, data, navegador, sistema, resolução e resultado, e citar na seção 4.4 a evidência do bucket privado. Não incluir todas as telas nem logs completos no DOCX: o conjunto recomendado é de até seis imagens compostas, uma matriz compacta e uma referência ao repositório de evidências. Também devem ser registrados a versão da interface, a configuração do agente, os diálogos reais e a política de dados do Chatling.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5.2 Trabalhos futuros</w:t>
      </w:r>
    </w:p>
    <w:p>
      <w:pPr>
        <w:spacing w:before="0" w:after="0" w:line="360" w:lineRule="auto"/>
        <w:ind w:left="0" w:right="0" w:firstLine="567"/>
        <w:jc w:val="both"/>
      </w:pPr>
      <w:r>
        <w:t>Recomenda-se estudo de usabilidade com cinco a oito participantes externos, tarefas cronometradas e SUS; métricas de resposta e carga; análise complementar de segurança e RLS; documentação de diálogos do Chatling; revisão institucional da privacidade; e definição de licença compatível com distribuição.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REFERÊNCIAS</w:t>
      </w:r>
    </w:p>
    <w:p>
      <w:pPr>
        <w:spacing w:before="0" w:after="0" w:line="240" w:lineRule="auto"/>
        <w:ind w:left="0" w:right="0" w:firstLine="0"/>
        <w:jc w:val="both"/>
      </w:pPr>
      <w:r>
        <w:t>ABCOMM. Faturamento do Ecommerce no Brasil. Disponível em: https://dados.abcomm.org/.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ADAMOPOULOU, E.; MOUSSIADES, L. An overview of chatbot technology. In: MAGLOGIANNIS, I.; ILIADIS, L.; PIMENIDIS, E. (eds.). Artificial Intelligence Applications and Innovations. AIAI 2020. Cham: Springer, 2020. Disponível em: https://link.springer.com/chapter/10.1007/978-3-030-49186-4_31.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/>
          <w:b/>
          <w:sz w:val="21"/>
        </w:rPr>
        <w:t xml:space="preserve">BAWACK, R. E.; WAMBA, S. F.; CARILLO, K. D. A.; AKTER, S. </w:t>
      </w:r>
      <w:r>
        <w:rPr>
          <w:rFonts w:ascii="Times New Roman" w:hAnsi="Times New Roman"/>
          <w:sz w:val="21"/>
        </w:rPr>
        <w:t>Artificial intelligence in E-Commerce: a bibliometric study and literature review. Electronic Markets, v. 32, n. 1, p. 297–338, 2022. DOI: 10.1007/s12525-022-00537-z. Disponível em: https://link.springer.com/article/10.1007/s12525-022-00537-z. Acesso em: 08 out. 2026.</w:t>
      </w:r>
    </w:p>
    <w:p>
      <w:pPr>
        <w:spacing w:before="0" w:after="0" w:line="240" w:lineRule="auto"/>
        <w:ind w:left="0" w:right="0" w:firstLine="0"/>
        <w:jc w:val="both"/>
      </w:pPr>
      <w:r>
        <w:t>BRASIL. Lei nº 13.709, de 14 de agosto de 2018. Lei Geral de Proteção de Dados Pessoais. Disponível em: https://www.planalto.gov.br/ccivil_03/_ato2015-2018/2018/lei/l13709.htm.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CARVALHO SOBRINHO, C. M.; OLIVEIRA FILHO, E. W. de. A responsabilidade civil das plataformas digitais de intermediação na compra e venda de veículos à luz do Código de Defesa do Consumidor e do Marco Civil da Internet. Revista JRG de Estudos Acadêmicos, v. 8, n. 19, e082758, 2025. DOI: 10.55892/jrg.v8i19.2758. Disponível em: https://revistajrg.com/index.php/jrg/article/view/2758.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FENAUTO. Mercado de veículos usados bate recorde histórico de vendas. 06 jan. 2026. Disponível em: https://www.fenauto.org.br/news/mercado-de-veiculos-usados-bate-recorde-historico-de-vendas.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IEEE. IEEE/ISO/IEC 29148:2018: Systems and software engineering — Life cycle processes — Requirements engineering. Disponível em: https://standards.ieee.org/standard/29148-2018.html.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ISO. ISO/IEC 25010:2023: Systems and software engineering — Systems and software Quality Requirements and Evaluation (SQuaRE) — Product quality model. Disponível em: https://www.iso.org/standard/78176.html.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MOBIAUTO. Mobiauto: compra e venda de carros novos e usados. Disponível em: https://www.mobiauto.com.br/.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OLX. Autos. Disponível em: https://www.olx.com.br/autos-e-pecas.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PEREIRA, G. da S.; PINTO, G. S. A importância do e-commerce no processo de comercialização de produtos, mercadorias e serviços de micro e pequenas empresas. Revista Interface Tecnológica, v. 18, n. 2, p. 316–328, 2021. DOI: 10.31510/infa.v18i2.1327. Disponível em: https://revista.fatectq.edu.br/interfacetecnologica/article/view/1327.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WEBMOTORS. Webmotors: compre, venda e financie carros ou motos novos, usados e seminovos. Disponível em: https://www.webmotors.com.br/. Acesso em: 25 out. 2026.</w:t>
      </w:r>
    </w:p>
    <w:sectPr>
      <w:headerReference r:id="rId15" w:type="default"/>
      <w:footerReference r:id="rId16" w:type="default"/>
      <w:pgSz w:h="16838" w:w="11906" w:orient="portrait"/>
      <w:pgMar w:bottom="1701" w:top="3231" w:left="1701" w:right="1134" w:header="1701" w:footer="113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Open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B">
    <w:pPr>
      <w:keepNext w:val="0"/>
      <w:keepLines w:val="0"/>
      <w:widowControl w:val="0"/>
      <w:numPr>
        <w:ilvl w:val="0"/>
        <w:numId w:val="1"/>
      </w:numPr>
      <w:tabs>
        <w:tab w:val="center" w:leader="none" w:pos="4535"/>
        <w:tab w:val="right" w:leader="none" w:pos="9071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Fonts w:ascii="Open Sans" w:cs="Open Sans" w:eastAsia="Open Sans" w:hAnsi="Open Sans"/>
        <w:b w:val="1"/>
        <w:i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 xml:space="preserve">   INSTITUTO FEDERAL DO PARANÁ | C</w:t>
    </w:r>
    <w:r w:rsidDel="00000000" w:rsidR="00000000" w:rsidRPr="00000000">
      <w:rPr>
        <w:rFonts w:ascii="Open Sans" w:cs="Open Sans" w:eastAsia="Open Sans" w:hAnsi="Open Sans"/>
        <w:b w:val="1"/>
        <w:sz w:val="18"/>
        <w:szCs w:val="18"/>
        <w:rtl w:val="0"/>
      </w:rPr>
      <w:t xml:space="preserve">entro de referência IFPR-Biopark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C">
    <w:pPr>
      <w:keepNext w:val="0"/>
      <w:keepLines w:val="0"/>
      <w:widowControl w:val="0"/>
      <w:numPr>
        <w:ilvl w:val="0"/>
        <w:numId w:val="1"/>
      </w:numPr>
      <w:tabs>
        <w:tab w:val="center" w:leader="none" w:pos="4535"/>
        <w:tab w:val="right" w:leader="none" w:pos="9071"/>
      </w:tabs>
      <w:spacing w:after="0" w:before="0" w:line="360" w:lineRule="auto"/>
      <w:ind w:left="0" w:right="0" w:firstLine="0"/>
      <w:jc w:val="left"/>
      <w:rPr/>
    </w:pPr>
    <w:r w:rsidDel="00000000" w:rsidR="00000000" w:rsidRPr="00000000">
      <w:rPr>
        <w:rFonts w:ascii="Open Sans" w:cs="Open Sans" w:eastAsia="Open Sans" w:hAnsi="Open Sans"/>
        <w:b w:val="0"/>
        <w:i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 xml:space="preserve">   </w:t>
    </w:r>
    <w:r w:rsidDel="00000000" w:rsidR="00000000" w:rsidRPr="00000000">
      <w:rPr>
        <w:rFonts w:ascii="Open Sans" w:cs="Open Sans" w:eastAsia="Open Sans" w:hAnsi="Open Sans"/>
        <w:sz w:val="18"/>
        <w:szCs w:val="18"/>
        <w:rtl w:val="0"/>
      </w:rPr>
      <w:t xml:space="preserve">Rodovia PR 182 km 320</w:t>
    </w:r>
    <w:r w:rsidDel="00000000" w:rsidR="00000000" w:rsidRPr="00000000">
      <w:rPr>
        <w:rFonts w:ascii="Open Sans" w:cs="Open Sans" w:eastAsia="Open Sans" w:hAnsi="Open Sans"/>
        <w:b w:val="0"/>
        <w:i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 xml:space="preserve">, Biop</w:t>
    </w:r>
    <w:r w:rsidDel="00000000" w:rsidR="00000000" w:rsidRPr="00000000">
      <w:rPr>
        <w:rFonts w:ascii="Open Sans" w:cs="Open Sans" w:eastAsia="Open Sans" w:hAnsi="Open Sans"/>
        <w:sz w:val="18"/>
        <w:szCs w:val="18"/>
        <w:rtl w:val="0"/>
      </w:rPr>
      <w:t xml:space="preserve">ark, Toledo</w:t>
    </w:r>
    <w:r w:rsidDel="00000000" w:rsidR="00000000" w:rsidRPr="00000000">
      <w:rPr>
        <w:rFonts w:ascii="Open Sans" w:cs="Open Sans" w:eastAsia="Open Sans" w:hAnsi="Open Sans"/>
        <w:b w:val="0"/>
        <w:i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 xml:space="preserve"> - PR | CEP 85935-000  - Brasil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D">
    <w:pPr>
      <w:keepNext w:val="0"/>
      <w:keepLines w:val="0"/>
      <w:widowControl w:val="0"/>
      <w:numPr>
        <w:ilvl w:val="0"/>
        <w:numId w:val="1"/>
      </w:numPr>
      <w:tabs>
        <w:tab w:val="center" w:leader="none" w:pos="4535"/>
        <w:tab w:val="right" w:leader="none" w:pos="9071"/>
      </w:tabs>
      <w:spacing w:after="0" w:before="0" w:line="360" w:lineRule="auto"/>
      <w:ind w:left="0" w:right="0" w:firstLine="0"/>
      <w:jc w:val="right"/>
      <w:rPr>
        <w:rFonts w:ascii="Arial" w:cs="Arial" w:eastAsia="Arial" w:hAnsi="Arial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A">
    <w:pPr>
      <w:keepNext w:val="0"/>
      <w:keepLines w:val="0"/>
      <w:widowControl w:val="0"/>
      <w:numPr>
        <w:ilvl w:val="0"/>
        <w:numId w:val="1"/>
      </w:numPr>
      <w:tabs>
        <w:tab w:val="center" w:leader="none" w:pos="4535"/>
        <w:tab w:val="right" w:leader="none" w:pos="9071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-401318</wp:posOffset>
          </wp:positionH>
          <wp:positionV relativeFrom="paragraph">
            <wp:posOffset>9304020</wp:posOffset>
          </wp:positionV>
          <wp:extent cx="333375" cy="664210"/>
          <wp:effectExtent b="0" l="0" r="0" t="0"/>
          <wp:wrapSquare wrapText="bothSides" distB="0" distT="0" distL="0" distR="0"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-222" l="-402" r="-401" t="-223"/>
                  <a:stretch>
                    <a:fillRect/>
                  </a:stretch>
                </pic:blipFill>
                <pic:spPr>
                  <a:xfrm>
                    <a:off x="0" y="0"/>
                    <a:ext cx="333375" cy="66421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4762</wp:posOffset>
          </wp:positionH>
          <wp:positionV relativeFrom="paragraph">
            <wp:posOffset>5080</wp:posOffset>
          </wp:positionV>
          <wp:extent cx="5750560" cy="664845"/>
          <wp:effectExtent b="0" l="0" r="0" t="0"/>
          <wp:wrapSquare wrapText="bothSides" distB="0" distT="0" distL="0" distR="0"/>
          <wp:docPr id="4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-425" l="-50" r="-49" t="-426"/>
                  <a:stretch>
                    <a:fillRect/>
                  </a:stretch>
                </pic:blipFill>
                <pic:spPr>
                  <a:xfrm>
                    <a:off x="0" y="0"/>
                    <a:ext cx="5750560" cy="66484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rial" w:cs="Arial" w:eastAsia="Arial" w:hAnsi="Arial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Arial" w:cs="Arial" w:eastAsia="Arial" w:hAnsi="Arial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customStyle="1" w:styleId="TableGrid">
    <w:name w:val="Table Grid"/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www.webmotors.com.br/" TargetMode="External"/><Relationship Id="rId10" Type="http://schemas.openxmlformats.org/officeDocument/2006/relationships/hyperlink" Target="https://www.olx.com.br/autos-e-pecas" TargetMode="External"/><Relationship Id="rId13" Type="http://schemas.openxmlformats.org/officeDocument/2006/relationships/hyperlink" Target="https://www.mobiauto.com.br/" TargetMode="External"/><Relationship Id="rId12" Type="http://schemas.openxmlformats.org/officeDocument/2006/relationships/hyperlink" Target="https://www.webmotors.com.br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olx.com.br/autos-e-pecas" TargetMode="External"/><Relationship Id="rId15" Type="http://schemas.openxmlformats.org/officeDocument/2006/relationships/header" Target="header1.xml"/><Relationship Id="rId14" Type="http://schemas.openxmlformats.org/officeDocument/2006/relationships/hyperlink" Target="https://www.mobiauto.com.br/" TargetMode="External"/><Relationship Id="rId16" Type="http://schemas.openxmlformats.org/officeDocument/2006/relationships/footer" Target="footer1.xml"/><Relationship Id="rId5" Type="http://schemas.openxmlformats.org/officeDocument/2006/relationships/styles" Target="styles.xml"/><Relationship Id="rId7" Type="http://schemas.openxmlformats.org/officeDocument/2006/relationships/image" Target="media/image3.png"/><Relationship Id="rId8" Type="http://schemas.openxmlformats.org/officeDocument/2006/relationships/image" Target="media/image1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6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OpenSans-regular.ttf"/><Relationship Id="rId2" Type="http://schemas.openxmlformats.org/officeDocument/2006/relationships/font" Target="fonts/OpenSans-bold.ttf"/><Relationship Id="rId3" Type="http://schemas.openxmlformats.org/officeDocument/2006/relationships/font" Target="fonts/OpenSans-italic.ttf"/><Relationship Id="rId4" Type="http://schemas.openxmlformats.org/officeDocument/2006/relationships/font" Target="fonts/OpenSans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biopark-left.png"/><Relationship Id="rId2" Type="http://schemas.openxmlformats.org/officeDocument/2006/relationships/image" Target="media/biopark-right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MGMOTORS — artigo revisado conforme considerações do professor</dc:title>
  <cp:lastModifiedBy>python-docx</cp:lastModifiedBy>
  <cp:revision>1</cp:revision>
  <dcterms:modified xsi:type="dcterms:W3CDTF">2026-10-09T00:12:32Z</dcterms:modified>
  <dc:creator>Equipe MGMOTORS</dc:creator>
  <dc:description>Ambiente computacional atualizado com PostgreSQL 17.6, Supabase Free, Node.js 26.12.0, VS Code 1.142.0, Arch Linux, Windows, Firefox, Brave e Chrome.</dc:description>
</cp:coreProperties>
</file>