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002060"/>
        </w:rPr>
      </w:pPr>
      <w:r w:rsidDel="00000000" w:rsidR="00000000" w:rsidRPr="00000000">
        <w:rPr>
          <w:rFonts w:ascii="Arial" w:cs="Arial" w:eastAsia="Arial" w:hAnsi="Arial"/>
          <w:b w:val="1"/>
          <w:bCs w:val="1"/>
          <w:color w:val="002060"/>
          <w:rtl w:val="0"/>
        </w:rPr>
        <w:t xml:space="preserve">Aplicação de Machine Learning na Previsão de Desastres Naturais</w:t>
      </w:r>
      <w:r w:rsidDel="00000000" w:rsidR="00000000" w:rsidRPr="00000000">
        <w:rPr>
          <w:rtl w:val="0"/>
        </w:rPr>
      </w:r>
    </w:p>
    <w:p w:rsidR="00000000" w:rsidDel="00000000" w:rsidP="00000000" w:rsidRDefault="00000000" w:rsidRPr="00000000" w14:paraId="00000002">
      <w:pPr>
        <w:jc w:val="both"/>
        <w:rPr>
          <w:b w:val="1"/>
          <w:bCs w:val="1"/>
          <w:color w:val="002060"/>
          <w:sz w:val="28"/>
          <w:szCs w:val="28"/>
        </w:rPr>
      </w:pPr>
      <w:r w:rsidDel="00000000" w:rsidR="00000000" w:rsidRPr="00000000">
        <w:rPr>
          <w:rtl w:val="0"/>
        </w:rPr>
      </w:r>
    </w:p>
    <w:p w:rsidR="00000000" w:rsidDel="00000000" w:rsidP="00000000" w:rsidRDefault="00000000" w:rsidRPr="00000000" w14:paraId="00000003">
      <w:pPr>
        <w:jc w:val="both"/>
        <w:rPr>
          <w:b w:val="1"/>
          <w:bCs w:val="1"/>
          <w:color w:val="002060"/>
          <w:sz w:val="28"/>
          <w:szCs w:val="28"/>
        </w:rPr>
      </w:pPr>
      <w:r w:rsidDel="00000000" w:rsidR="00000000" w:rsidRPr="00000000">
        <w:rPr>
          <w:b w:val="1"/>
          <w:bCs w:val="1"/>
          <w:color w:val="002060"/>
          <w:sz w:val="28"/>
          <w:szCs w:val="28"/>
          <w:rtl w:val="0"/>
        </w:rPr>
        <w:t xml:space="preserve">Sugestões para a pesquisa</w:t>
      </w:r>
    </w:p>
    <w:p w:rsidR="00000000" w:rsidDel="00000000" w:rsidP="00000000" w:rsidRDefault="00000000" w:rsidRPr="00000000" w14:paraId="00000004">
      <w:pPr>
        <w:jc w:val="both"/>
        <w:rPr>
          <w:color w:val="000000"/>
          <w:sz w:val="28"/>
          <w:szCs w:val="28"/>
        </w:rPr>
      </w:pPr>
      <w:r w:rsidDel="00000000" w:rsidR="00000000" w:rsidRPr="00000000">
        <w:rPr>
          <w:color w:val="000000"/>
          <w:sz w:val="28"/>
          <w:szCs w:val="28"/>
          <w:rtl w:val="0"/>
        </w:rPr>
        <w:t xml:space="preserve">Pontos objetivos a serem pensados: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Especificar bem os tipos de desastre a serem analisados: enchentes urbanas, deslizamentos, </w:t>
      </w:r>
    </w:p>
    <w:tbl>
      <w:tblPr>
        <w:tblStyle w:val="Table1"/>
        <w:tblW w:w="10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4"/>
        <w:tblGridChange w:id="0">
          <w:tblGrid>
            <w:gridCol w:w="10054"/>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estudo será focado em eventos pluviométricos associados principalmente a enchentes, inundações e alagamentos na região Sudeste. Esses eventos foram escolhidos por apresentarem forte relação com variáveis meteorológicas, especialmente precipitação acumulada e intensidade da chuva, além de serem compatíveis com os dados disponíveis no projeto.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6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Definir e especificar a variável alvo: classificação (ocorre/não ocorre certo tipo de desastre) ou regressão (nível de risco, volume de chuva, uma previsão temporal,  etc.). </w:t>
      </w:r>
    </w:p>
    <w:tbl>
      <w:tblPr>
        <w:tblStyle w:val="Table2"/>
        <w:tblW w:w="10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4"/>
        <w:tblGridChange w:id="0">
          <w:tblGrid>
            <w:gridCol w:w="10054"/>
          </w:tblGrid>
        </w:tblGridChange>
      </w:tblGrid>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variável alvo será definida como uma classificação binária de risco/ocorrência de evento extremo, indicando a presença ou ausência de eventos pluviométricos em determinado período e região. Essa abordagem foi escolhida por ser mais adequada aos dados meteorológicos e históricos disponíveis, além de permitir uma modelagem preditiva mais robusta e interpretável.</w:t>
            </w:r>
          </w:p>
        </w:tc>
      </w:tr>
    </w:tbl>
    <w:p w:rsidR="00000000" w:rsidDel="00000000" w:rsidP="00000000" w:rsidRDefault="00000000" w:rsidRPr="00000000" w14:paraId="0000000C">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numPr>
          <w:ilvl w:val="0"/>
          <w:numId w:val="1"/>
        </w:numPr>
        <w:tabs>
          <w:tab w:val="left" w:leader="none" w:pos="426"/>
        </w:tabs>
        <w:spacing w:after="0" w:line="288" w:lineRule="auto"/>
        <w:ind w:left="0" w:right="0" w:firstLine="0"/>
        <w:jc w:val="both"/>
        <w:rPr>
          <w:color w:val="000000"/>
        </w:rPr>
      </w:pPr>
      <w:r w:rsidDel="00000000" w:rsidR="00000000" w:rsidRPr="00000000">
        <w:rPr>
          <w:color w:val="000000"/>
          <w:rtl w:val="0"/>
        </w:rPr>
        <w:t xml:space="preserve">Especificar os datasets utilizados:  INMET, CEMADEN, ANA ... Isso fortalece a viabilidade do projeto. Para dados reais do projeto é intessante pesquisar fontes concretas: </w:t>
      </w:r>
    </w:p>
    <w:p w:rsidR="00000000" w:rsidDel="00000000" w:rsidP="00000000" w:rsidRDefault="00000000" w:rsidRPr="00000000" w14:paraId="0000000F">
      <w:pPr>
        <w:numPr>
          <w:ilvl w:val="0"/>
          <w:numId w:val="6"/>
        </w:numPr>
        <w:tabs>
          <w:tab w:val="left" w:leader="none" w:pos="426"/>
        </w:tabs>
        <w:spacing w:after="0" w:line="288" w:lineRule="auto"/>
        <w:ind w:left="720" w:right="0" w:hanging="360"/>
        <w:jc w:val="both"/>
        <w:rPr>
          <w:b w:val="1"/>
          <w:bCs w:val="1"/>
          <w:color w:val="000000"/>
        </w:rPr>
      </w:pPr>
      <w:r w:rsidDel="00000000" w:rsidR="00000000" w:rsidRPr="00000000">
        <w:rPr>
          <w:b w:val="1"/>
          <w:bCs w:val="1"/>
          <w:color w:val="000000"/>
          <w:rtl w:val="0"/>
        </w:rPr>
        <w:t xml:space="preserve">INMET: chuva, temperatura, umidade, pressão;</w:t>
      </w:r>
    </w:p>
    <w:p w:rsidR="00000000" w:rsidDel="00000000" w:rsidP="00000000" w:rsidRDefault="00000000" w:rsidRPr="00000000" w14:paraId="00000010">
      <w:pPr>
        <w:numPr>
          <w:ilvl w:val="0"/>
          <w:numId w:val="6"/>
        </w:numPr>
        <w:tabs>
          <w:tab w:val="left" w:leader="none" w:pos="426"/>
        </w:tabs>
        <w:spacing w:after="0" w:line="288" w:lineRule="auto"/>
        <w:ind w:left="720" w:right="0" w:hanging="360"/>
        <w:jc w:val="both"/>
        <w:rPr>
          <w:b w:val="1"/>
          <w:bCs w:val="1"/>
          <w:color w:val="000000"/>
        </w:rPr>
      </w:pPr>
      <w:r w:rsidDel="00000000" w:rsidR="00000000" w:rsidRPr="00000000">
        <w:rPr>
          <w:b w:val="1"/>
          <w:bCs w:val="1"/>
          <w:color w:val="000000"/>
          <w:rtl w:val="0"/>
        </w:rPr>
        <w:t xml:space="preserve">S2ID: registros oficiais de desastres;</w:t>
      </w:r>
    </w:p>
    <w:p w:rsidR="00000000" w:rsidDel="00000000" w:rsidP="00000000" w:rsidRDefault="00000000" w:rsidRPr="00000000" w14:paraId="00000011">
      <w:pPr>
        <w:numPr>
          <w:ilvl w:val="0"/>
          <w:numId w:val="6"/>
        </w:numPr>
        <w:tabs>
          <w:tab w:val="left" w:leader="none" w:pos="426"/>
        </w:tabs>
        <w:spacing w:after="0" w:line="288" w:lineRule="auto"/>
        <w:ind w:left="720" w:right="0" w:hanging="360"/>
        <w:jc w:val="both"/>
        <w:rPr>
          <w:b w:val="1"/>
          <w:bCs w:val="1"/>
          <w:color w:val="000000"/>
        </w:rPr>
      </w:pPr>
      <w:r w:rsidDel="00000000" w:rsidR="00000000" w:rsidRPr="00000000">
        <w:rPr>
          <w:b w:val="1"/>
          <w:bCs w:val="1"/>
          <w:color w:val="000000"/>
          <w:rtl w:val="0"/>
        </w:rPr>
        <w:t xml:space="preserve">CEMADEN: mapas, alertas e materiais de contextualização;</w:t>
      </w:r>
    </w:p>
    <w:p w:rsidR="00000000" w:rsidDel="00000000" w:rsidP="00000000" w:rsidRDefault="00000000" w:rsidRPr="00000000" w14:paraId="00000012">
      <w:pPr>
        <w:numPr>
          <w:ilvl w:val="0"/>
          <w:numId w:val="6"/>
        </w:numPr>
        <w:tabs>
          <w:tab w:val="left" w:leader="none" w:pos="426"/>
        </w:tabs>
        <w:spacing w:after="0" w:line="288" w:lineRule="auto"/>
        <w:ind w:left="720" w:right="0" w:hanging="360"/>
        <w:jc w:val="both"/>
        <w:rPr>
          <w:color w:val="000000"/>
        </w:rPr>
      </w:pPr>
      <w:r w:rsidDel="00000000" w:rsidR="00000000" w:rsidRPr="00000000">
        <w:rPr>
          <w:color w:val="000000"/>
          <w:rtl w:val="0"/>
        </w:rPr>
        <w:t xml:space="preserve">EMBRAPA GeoInfo: apoio geoespacial;</w:t>
      </w:r>
    </w:p>
    <w:p w:rsidR="00000000" w:rsidDel="00000000" w:rsidP="00000000" w:rsidRDefault="00000000" w:rsidRPr="00000000" w14:paraId="00000013">
      <w:pPr>
        <w:numPr>
          <w:ilvl w:val="0"/>
          <w:numId w:val="6"/>
        </w:numPr>
        <w:tabs>
          <w:tab w:val="left" w:leader="none" w:pos="426"/>
        </w:tabs>
        <w:spacing w:after="0" w:line="288" w:lineRule="auto"/>
        <w:ind w:left="720" w:right="0" w:hanging="360"/>
        <w:jc w:val="both"/>
        <w:rPr>
          <w:color w:val="000000"/>
        </w:rPr>
      </w:pPr>
      <w:r w:rsidDel="00000000" w:rsidR="00000000" w:rsidRPr="00000000">
        <w:rPr>
          <w:color w:val="000000"/>
          <w:rtl w:val="0"/>
        </w:rPr>
        <w:t xml:space="preserve">eventualmente ANA, se quiser incluir hidrologia.</w:t>
      </w:r>
    </w:p>
    <w:p w:rsidR="00000000" w:rsidDel="00000000" w:rsidP="00000000" w:rsidRDefault="00000000" w:rsidRPr="00000000" w14:paraId="00000014">
      <w:pPr>
        <w:tabs>
          <w:tab w:val="left" w:leader="none" w:pos="426"/>
        </w:tabs>
        <w:spacing w:after="0" w:line="288" w:lineRule="auto"/>
        <w:ind w:right="0"/>
        <w:jc w:val="both"/>
        <w:rPr>
          <w:color w:val="000000"/>
        </w:rPr>
      </w:pPr>
      <w:r w:rsidDel="00000000" w:rsidR="00000000" w:rsidRPr="00000000">
        <w:rPr>
          <w:color w:val="000000"/>
          <w:rtl w:val="0"/>
        </w:rPr>
        <w:t xml:space="preserve">Combinação comumente recomendada:</w:t>
      </w:r>
    </w:p>
    <w:p w:rsidR="00000000" w:rsidDel="00000000" w:rsidP="00000000" w:rsidRDefault="00000000" w:rsidRPr="00000000" w14:paraId="00000015">
      <w:pPr>
        <w:numPr>
          <w:ilvl w:val="0"/>
          <w:numId w:val="7"/>
        </w:numPr>
        <w:tabs>
          <w:tab w:val="left" w:leader="none" w:pos="426"/>
        </w:tabs>
        <w:spacing w:after="0" w:line="288" w:lineRule="auto"/>
        <w:ind w:left="720" w:right="0" w:hanging="360"/>
        <w:jc w:val="both"/>
        <w:rPr>
          <w:color w:val="000000"/>
        </w:rPr>
      </w:pPr>
      <w:r w:rsidDel="00000000" w:rsidR="00000000" w:rsidRPr="00000000">
        <w:rPr>
          <w:color w:val="000000"/>
          <w:rtl w:val="0"/>
        </w:rPr>
        <w:t xml:space="preserve">variável alvo: ocorrência de desastre por município/data;</w:t>
      </w:r>
    </w:p>
    <w:p w:rsidR="00000000" w:rsidDel="00000000" w:rsidP="00000000" w:rsidRDefault="00000000" w:rsidRPr="00000000" w14:paraId="00000016">
      <w:pPr>
        <w:numPr>
          <w:ilvl w:val="0"/>
          <w:numId w:val="7"/>
        </w:numPr>
        <w:tabs>
          <w:tab w:val="left" w:leader="none" w:pos="426"/>
        </w:tabs>
        <w:spacing w:after="0" w:line="288" w:lineRule="auto"/>
        <w:ind w:left="720" w:right="0" w:hanging="360"/>
        <w:jc w:val="both"/>
        <w:rPr>
          <w:color w:val="000000"/>
        </w:rPr>
      </w:pPr>
      <w:r w:rsidDel="00000000" w:rsidR="00000000" w:rsidRPr="00000000">
        <w:rPr>
          <w:color w:val="000000"/>
          <w:rtl w:val="0"/>
        </w:rPr>
        <w:t xml:space="preserve">variáveis preditoras: precipitação acumulada em 24h, 48h e 72h, temperatura, umidade, pressão, estação do ano, altitude e localização.</w:t>
      </w:r>
    </w:p>
    <w:p w:rsidR="00000000" w:rsidDel="00000000" w:rsidP="00000000" w:rsidRDefault="00000000" w:rsidRPr="00000000" w14:paraId="00000017">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dados públicos limitados: integrar múltiplas fontes, aplicar imputação (KNN, média temporal, interpolação), validar consistência temporal . Isso transforma a limitação em parte da metodologia.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Definir unidade temporal e espacial dos dados: definir se a previsão será por cidade, região, ponto geográfico, e em qual intervalo de tempo (horas, dias, ...) município, estação meteorológica, grid geográfico.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4"/>
        <w:tblGridChange w:id="0">
          <w:tblGrid>
            <w:gridCol w:w="10054"/>
          </w:tblGrid>
        </w:tblGridChange>
      </w:tblGrid>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60" w:before="0" w:line="288"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unidade espacial adotada será o município, permitindo relacionar os registros meteorológicos das estações com os eventos pluviométricos registrados em cada cidade da região Sudeste. A unidade temporal será diária, utilizando dados meteorológicos agregados por dia e acumulados de precipitação em janelas temporais (24h, 48h e 72h), visando identificar condições associadas à ocorrência de eventos extremos.</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variabilidade regional, com fenômenos variando dentro do Sudeste, pode ser incluída uma variável geográfica  ou então clusterizar regiões similares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firstLine="0"/>
        <w:jc w:val="both"/>
        <w:rPr/>
      </w:pPr>
      <w:r w:rsidDel="00000000" w:rsidR="00000000" w:rsidRPr="00000000">
        <w:rPr>
          <w:rtl w:val="0"/>
        </w:rPr>
      </w:r>
    </w:p>
    <w:sdt>
      <w:sdtPr>
        <w:lock w:val="contentLocked"/>
        <w:id w:val="-832542287"/>
        <w:tag w:val="goog_rdk_0"/>
      </w:sdtPr>
      <w:sdtContent>
        <w:tbl>
          <w:tblPr>
            <w:tblStyle w:val="Table4"/>
            <w:tblW w:w="934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4"/>
            <w:tblGridChange w:id="0">
              <w:tblGrid>
                <w:gridCol w:w="93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Altitude, Latitude, Longitude</w:t>
                </w:r>
              </w:p>
            </w:tc>
          </w:tr>
        </w:tbl>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firstLine="0"/>
        <w:jc w:val="both"/>
        <w:rPr/>
      </w:pPr>
      <w:r w:rsidDel="00000000" w:rsidR="00000000" w:rsidRPr="00000000">
        <w:rPr>
          <w:rtl w:val="0"/>
        </w:rPr>
      </w:r>
    </w:p>
    <w:p w:rsidR="00000000" w:rsidDel="00000000" w:rsidP="00000000" w:rsidRDefault="00000000" w:rsidRPr="00000000" w14:paraId="00000023">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Incluir variáveis relevantes:  acumulado de chuva em janelas temporais (24h, 72h, 7 dias) , índice de saturação do solo, altitude, declividade (dados geográficos)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firstLine="0"/>
        <w:jc w:val="both"/>
        <w:rPr/>
      </w:pPr>
      <w:r w:rsidDel="00000000" w:rsidR="00000000" w:rsidRPr="00000000">
        <w:rPr>
          <w:rtl w:val="0"/>
        </w:rPr>
      </w:r>
    </w:p>
    <w:sdt>
      <w:sdtPr>
        <w:lock w:val="contentLocked"/>
        <w:id w:val="-1541968035"/>
        <w:tag w:val="goog_rdk_1"/>
      </w:sdtPr>
      <w:sdtContent>
        <w:tbl>
          <w:tblPr>
            <w:tblStyle w:val="Table5"/>
            <w:tblW w:w="934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4"/>
            <w:tblGridChange w:id="0">
              <w:tblGrid>
                <w:gridCol w:w="93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Temos acumulado em janelas temporais, índice de saturação do solo conseguimos inferir com base nos dias acumulados, altitude temos, e declividade optaremos por não incluir</w:t>
                </w:r>
              </w:p>
            </w:tc>
          </w:tr>
        </w:tbl>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firstLine="0"/>
        <w:jc w:val="both"/>
        <w:rPr/>
      </w:pPr>
      <w:r w:rsidDel="00000000" w:rsidR="00000000" w:rsidRPr="00000000">
        <w:rPr>
          <w:rtl w:val="0"/>
        </w:rPr>
      </w:r>
    </w:p>
    <w:p w:rsidR="00000000" w:rsidDel="00000000" w:rsidP="00000000" w:rsidRDefault="00000000" w:rsidRPr="00000000" w14:paraId="00000028">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momento de especificar a generalização do modelo, deixar claro que o modelo é regional. Testar casos de treino em uma cidade e teste em outra. Então, discutir transferência de aprendizado (mesmo que conceitualmente)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firstLine="0"/>
        <w:jc w:val="both"/>
        <w:rPr/>
      </w:pPr>
      <w:r w:rsidDel="00000000" w:rsidR="00000000" w:rsidRPr="00000000">
        <w:rPr>
          <w:rtl w:val="0"/>
        </w:rPr>
      </w:r>
    </w:p>
    <w:p w:rsidR="00000000" w:rsidDel="00000000" w:rsidP="00000000" w:rsidRDefault="00000000" w:rsidRPr="00000000" w14:paraId="0000002B">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Eventos de desastre são naturalmente raros, então o problema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desbalanceamento de dados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poderá ser forte na pesquisa.  Incluir técnicas como: SMOTE , undersampling, além das métricas mais convencionais (F1, ROC-AUC, PR-AUC)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Exemplo:   o desbalanceamento de dados ocorre quando uma classe tem muito mais exemplos que a outra.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contexto do trabalho, pode ocorrer 95% dos dias  sem desastre e 5% dos dias com desastre . Se não tratar isso, o modelo poderá simplesmente prever  que sempre não acontece nada e ainda assim ter alta acurácia. Torna-se um estudo inútil.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56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SMOTE (Synthetic Minority Over-sampling Technique) é uma técnica de oversampling, ou seja, aumenta artificialmente a classe minoritária. Em vez de copiar dados existentes (o que causaria overfitting), ele cria novos exemplos sintéticos entre pontos da classe minoritária.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Exemplo simples:  tem poucos casos de deslizamento. O SMOTE pega um ponto real, encontra vizinhos próximos da mesma classe  e cria novos pontos “no meio do caminho” entre eles. Assim, terá mais exemplos de desastres, mas com variação realista.</w:t>
      </w:r>
    </w:p>
    <w:p w:rsidR="00000000" w:rsidDel="00000000" w:rsidP="00000000" w:rsidRDefault="00000000" w:rsidRPr="00000000" w14:paraId="00000031">
      <w:pPr>
        <w:tabs>
          <w:tab w:val="left" w:leader="none" w:pos="426"/>
        </w:tabs>
        <w:spacing w:after="0" w:line="288" w:lineRule="auto"/>
        <w:ind w:right="0" w:firstLine="567"/>
        <w:jc w:val="both"/>
        <w:rPr>
          <w:color w:val="000000"/>
        </w:rPr>
      </w:pPr>
      <w:r w:rsidDel="00000000" w:rsidR="00000000" w:rsidRPr="00000000">
        <w:rPr>
          <w:color w:val="000000"/>
          <w:rtl w:val="0"/>
        </w:rPr>
        <w:t xml:space="preserve">O undersampling faz o oposto: reduz a classe majoritária. Ele remove exemplos da classe dominante (ex: “sem desastre”) . Por exemplo: antes: 950 “não evento” / 50 “evento” . Depois ficará: 50 / 50 (equilibrado)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426"/>
        </w:tabs>
        <w:spacing w:after="0" w:line="288" w:lineRule="auto"/>
        <w:ind w:right="0"/>
        <w:jc w:val="both"/>
        <w:rPr>
          <w:color w:val="000000"/>
        </w:rPr>
      </w:pPr>
      <w:r w:rsidDel="00000000" w:rsidR="00000000" w:rsidRPr="00000000">
        <w:rPr>
          <w:color w:val="000000"/>
        </w:rPr>
        <w:drawing>
          <wp:inline distB="0" distT="0" distL="0" distR="0">
            <wp:extent cx="5400040" cy="11633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11633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88" w:lineRule="auto"/>
        <w:ind w:right="0" w:firstLine="426"/>
        <w:jc w:val="both"/>
        <w:rPr>
          <w:color w:val="000000"/>
        </w:rPr>
      </w:pPr>
      <w:r w:rsidDel="00000000" w:rsidR="00000000" w:rsidRPr="00000000">
        <w:rPr>
          <w:color w:val="000000"/>
          <w:rtl w:val="0"/>
        </w:rPr>
        <w:t xml:space="preserve">Usar SMOTE quando o dataset for pequeno ou médio, não quiser perder informação, for classe rara.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Usar undersampling quando o dataset for muito grand, e a classe majoritária domina demais, e quando o tempo de treino for um problema.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A melhor prática é usar a combinação dos dois. Um undersampling leve da classe majoritária  e um SMOTE para reforçar a minoritária.  Isso tende a dar resultados mais estáveis.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Sem balanceamento, o modelo ignora eventos raros. Com SMOTE/undersampling, o modelo aprende padrões reais de risco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Incluir as métricas técnicas F1-score, Recall da classe de desastre (para não perder eventos críticos),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Incluir métricas orientadas ao impacto: taxa de falsos negativos (crítico em desastres)  e custo de erro.</w:t>
      </w:r>
    </w:p>
    <w:p w:rsidR="00000000" w:rsidDel="00000000" w:rsidP="00000000" w:rsidRDefault="00000000" w:rsidRPr="00000000" w14:paraId="0000003C">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Fazer uma validação robusta. Não ficar apenas com  validação aleatória simples.  Usar validação temporal (time series split)  e backtesting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modelo resultante.  Incluir SHAP  e feature importance para explicar o modelo. Isso ajuda a justificar decisões para órgãos públicos e é muito valorizado.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Sem interpretabilidade, o modelo vira “caixa preta” . Com SHAP + feature importance, é possível mostrar que o modelo faz sentido físico. Isso aumenta a confiabilidade  e aproxima de aplicações reais (ex: da Defesa Civil).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Importance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(Importância de Atributos) indica quais variáveis mais influenciam o modelo nas suas previsões.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Por exemplo: se você treina um modelo com variáveis como precipitação acumulada, umidade , temperatura , altitude ,... a feature importance responde: “Quais dessas variáveis mais impactam a decisão do modelo?”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O cálculo depende do modelo. Em modelos como Random Forest e XGBoost , a importância geralmente vem da redução de impureza (Gini, entropia)  e do ganho de informação nos splits.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Deixar claro que há limitações: pode ser um resultado global, que não explica casos individuais. Pode ser enviesada (ex: variáveis correlacionadas). É difícil interpretar relações complexas.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 uma técnica mais avançada que explica por que o modelo tomou uma decisão específica. Ele vem da teoria dos jogos (valores de Shapley). O SHAP responde: “Quanto cada variável contribuiu para essa previsão específica?”. Algumas variáveis aumentam o risco, outras reduzem.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Feature importance:  quais variáveis mais importam no geral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SHAP: como cada variável influencia cada previsão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O ideal é:</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Treinar modelos (RF, XGBoost, etc.)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Mostrar feature importance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Aplicar SHAP para explicar previsões  e para validar coerência com conhecimento físico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Exemplo de análise: “O modelo identificou a precipitação acumulada em 72h como principal variável. A análise com SHAP mostrou que valores elevados dessa variável contribuem positivamente para o aumento do risco de deslizamento, o que está alinhado com a literatura.”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Uma boa delimitação para o TCC, além do recorte espacial já pensado, poderia ser cortar em três dimensões: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tipo de evento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recorte espacial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formulação do problema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Exemplo 1:</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Evento: enchentes urbanas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região de um estado, ou em uma cidade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Problema: classificação binária (evento / não evento)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Exemplo 2  (mais rico)</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Evento: deslizamentos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Região Sudeste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Problema: previsão de risco (baixo, médio, alto)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Exemplo 3 (boa para dados mais acessíveis):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Evento: chuva extrema (proxy de desastre)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Sudeste </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Problema: regressão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Não é um boa delimitação misturar vários tipos de eventos com causas diferentes  e não definir claramente a variável alvo .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 interessante fazer comparação com baseline: incluir modelos simples (ex: regressão logística) para justificar o ganho dos modelos mais complexos.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Propostas futuras: Considerar integração com dados de sensoriamento remoto,  conectar com sistemas de alerta (ex: Defesa Civil). Incluir como o modelo poderia ser usado por defesa civil ou órgãos públicos. </w:t>
      </w:r>
    </w:p>
    <w:p w:rsidR="00000000" w:rsidDel="00000000" w:rsidP="00000000" w:rsidRDefault="00000000" w:rsidRPr="00000000" w14:paraId="00000060">
      <w:pPr>
        <w:tabs>
          <w:tab w:val="left" w:leader="none" w:pos="426"/>
        </w:tabs>
        <w:spacing w:after="0" w:line="288" w:lineRule="auto"/>
        <w:ind w:right="0"/>
        <w:jc w:val="both"/>
        <w:rPr>
          <w:color w:val="000000"/>
        </w:rPr>
      </w:pPr>
      <w:r w:rsidDel="00000000" w:rsidR="00000000" w:rsidRPr="00000000">
        <w:rPr>
          <w:rtl w:val="0"/>
        </w:rPr>
      </w:r>
    </w:p>
    <w:p w:rsidR="00000000" w:rsidDel="00000000" w:rsidP="00000000" w:rsidRDefault="00000000" w:rsidRPr="00000000" w14:paraId="00000061">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62">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63">
      <w:pPr>
        <w:tabs>
          <w:tab w:val="left" w:leader="none" w:pos="426"/>
        </w:tabs>
        <w:spacing w:after="0" w:line="288" w:lineRule="auto"/>
        <w:ind w:right="0"/>
        <w:jc w:val="both"/>
        <w:rPr>
          <w:b w:val="1"/>
          <w:bCs w:val="1"/>
          <w:color w:val="002060"/>
          <w:sz w:val="28"/>
          <w:szCs w:val="28"/>
        </w:rPr>
      </w:pPr>
      <w:r w:rsidDel="00000000" w:rsidR="00000000" w:rsidRPr="00000000">
        <w:rPr>
          <w:b w:val="1"/>
          <w:bCs w:val="1"/>
          <w:color w:val="002060"/>
          <w:sz w:val="28"/>
          <w:szCs w:val="28"/>
          <w:rtl w:val="0"/>
        </w:rPr>
        <w:t xml:space="preserve">Ideia inicial de passo a passo necessário para alcançar o objetivo geral:  </w:t>
      </w:r>
      <w:r w:rsidDel="00000000" w:rsidR="00000000" w:rsidRPr="00000000">
        <w:rPr>
          <w:color w:val="002060"/>
          <w:rtl w:val="0"/>
        </w:rPr>
        <w:t xml:space="preserve">esqueleto de uma metodologia formal, utilizando a estrutura esperadas em um TCC de Ciência da Computação.</w:t>
      </w:r>
      <w:r w:rsidDel="00000000" w:rsidR="00000000" w:rsidRPr="00000000">
        <w:rPr>
          <w:rtl w:val="0"/>
        </w:rPr>
      </w:r>
    </w:p>
    <w:p w:rsidR="00000000" w:rsidDel="00000000" w:rsidP="00000000" w:rsidRDefault="00000000" w:rsidRPr="00000000" w14:paraId="00000064">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Mapear e extrair dados meteorológicos e registros de desastres naturais de bases governamentais públicas referentes à região Sudeste (como INMET, CEMADEN e Defesa Civil), estabelecendo a granularidade espacial (por município) e temporal (diária ou horária) do estudo;</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Realizar o pré-processamento e a engenharia de atributos (feature engineering), aplicando técnicas de tratamento de dados ausentes, normalização e estratégias computacionais para mitigação de classes desbalanceadas (como SMOTE ou ajuste de pesos algorítmicos);</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Implementar e testar um modelo de base (baseline), como a Regressão Logística, visando estabelecer um parâmetro inicial de desempenho;</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Treinar e otimizar modelos avançados de aprendizado de máquina supervisionado (como Random Forest, XGBoost e Multilayer Perceptron), voltados para a classificação binária de ocorrência de desastres;</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Avaliar e comparar a generalização dos modelos por meio de validação cruzada temporal (Time Series Split), adotando métricas adequadas para dados desbalanceados, como F1-score, Precision-Recall AUC e Recall (Sensibilidade);</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Aplicar técnicas de Inteligência Artificial Explicável (XAI), como os valores SHAP (SHapley Additive exPlanations), para identificar os atributos climáticos de maior impacto nas predições;</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(Opcional/Diferencial) Desenvolver um protótipo conceitual ou interface (como uma API ou dashboard) que demonstre a aplicabilidade do modelo na visualização dos níveis de risco.</w:t>
      </w:r>
    </w:p>
    <w:p w:rsidR="00000000" w:rsidDel="00000000" w:rsidP="00000000" w:rsidRDefault="00000000" w:rsidRPr="00000000" w14:paraId="0000006C">
      <w:pPr>
        <w:tabs>
          <w:tab w:val="left" w:leader="none" w:pos="426"/>
        </w:tabs>
        <w:spacing w:after="0" w:line="288" w:lineRule="auto"/>
        <w:ind w:right="0"/>
        <w:jc w:val="both"/>
        <w:rPr/>
      </w:pPr>
      <w:r w:rsidDel="00000000" w:rsidR="00000000" w:rsidRPr="00000000">
        <w:rPr>
          <w:rtl w:val="0"/>
        </w:rPr>
      </w:r>
    </w:p>
    <w:p w:rsidR="00000000" w:rsidDel="00000000" w:rsidP="00000000" w:rsidRDefault="00000000" w:rsidRPr="00000000" w14:paraId="0000006D">
      <w:pPr>
        <w:tabs>
          <w:tab w:val="left" w:leader="none" w:pos="426"/>
        </w:tabs>
        <w:spacing w:after="0" w:line="288" w:lineRule="auto"/>
        <w:ind w:right="0"/>
        <w:jc w:val="both"/>
        <w:rPr>
          <w:b w:val="1"/>
          <w:bCs w:val="1"/>
          <w:color w:val="002060"/>
          <w:sz w:val="28"/>
          <w:szCs w:val="28"/>
        </w:rPr>
      </w:pPr>
      <w:r w:rsidDel="00000000" w:rsidR="00000000" w:rsidRPr="00000000">
        <w:rPr>
          <w:b w:val="1"/>
          <w:bCs w:val="1"/>
          <w:color w:val="002060"/>
          <w:sz w:val="28"/>
          <w:szCs w:val="28"/>
          <w:rtl w:val="0"/>
        </w:rPr>
        <w:t xml:space="preserve">Estrutura da Metodologia Formal</w:t>
      </w:r>
    </w:p>
    <w:p w:rsidR="00000000" w:rsidDel="00000000" w:rsidP="00000000" w:rsidRDefault="00000000" w:rsidRPr="00000000" w14:paraId="0000006E">
      <w:pPr>
        <w:tabs>
          <w:tab w:val="left" w:leader="none" w:pos="426"/>
        </w:tabs>
        <w:spacing w:after="0" w:line="288" w:lineRule="auto"/>
        <w:ind w:right="0"/>
        <w:jc w:val="both"/>
        <w:rPr>
          <w:color w:val="002060"/>
        </w:rPr>
      </w:pPr>
      <w:r w:rsidDel="00000000" w:rsidR="00000000" w:rsidRPr="00000000">
        <w:rPr>
          <w:color w:val="002060"/>
          <w:rtl w:val="0"/>
        </w:rPr>
        <w:t xml:space="preserve">Proposta estruturada dividida em etapas lógicas:</w:t>
      </w:r>
    </w:p>
    <w:p w:rsidR="00000000" w:rsidDel="00000000" w:rsidP="00000000" w:rsidRDefault="00000000" w:rsidRPr="00000000" w14:paraId="0000006F">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70">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Definição do Escopo e Coleta de Dados</w:t>
      </w:r>
    </w:p>
    <w:p w:rsidR="00000000" w:rsidDel="00000000" w:rsidP="00000000" w:rsidRDefault="00000000" w:rsidRPr="00000000" w14:paraId="00000071">
      <w:pPr>
        <w:tabs>
          <w:tab w:val="left" w:leader="none" w:pos="426"/>
        </w:tabs>
        <w:spacing w:after="0" w:line="288" w:lineRule="auto"/>
        <w:ind w:right="0"/>
        <w:jc w:val="both"/>
        <w:rPr>
          <w:color w:val="ee0000"/>
        </w:rPr>
      </w:pPr>
      <w:r w:rsidDel="00000000" w:rsidR="00000000" w:rsidRPr="00000000">
        <w:rPr>
          <w:color w:val="ee0000"/>
          <w:rtl w:val="0"/>
        </w:rPr>
        <w:t xml:space="preserve">Exemplo:  O estudo tratará o problema como uma tarefa de classificação binária estruturada no tempo (ocorrência ou não de desastre em um dado local e intervalo). Os dados serão coletados abrangendo um recorte temporal específico (ex: últimos 10 anos) na região Sudeste. As fontes principais incluirão os dados de estações telemétricas do Instituto Nacional de Meteorologia (INMET) e os registros de ocorrências do Centro Nacional de Monitoramento e Alertas de Desastres Naturais (CEMADEN). A integração das bases será realizada por meio de cruzamento georreferenciado e unificação temporal.</w:t>
      </w:r>
    </w:p>
    <w:p w:rsidR="00000000" w:rsidDel="00000000" w:rsidP="00000000" w:rsidRDefault="00000000" w:rsidRPr="00000000" w14:paraId="00000072">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73">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Pré-processamento e Engenharia de Atributos (Feature Engineering)</w:t>
      </w:r>
    </w:p>
    <w:p w:rsidR="00000000" w:rsidDel="00000000" w:rsidP="00000000" w:rsidRDefault="00000000" w:rsidRPr="00000000" w14:paraId="00000074">
      <w:pPr>
        <w:tabs>
          <w:tab w:val="left" w:leader="none" w:pos="426"/>
        </w:tabs>
        <w:spacing w:after="0" w:line="288" w:lineRule="auto"/>
        <w:ind w:right="0"/>
        <w:jc w:val="both"/>
        <w:rPr>
          <w:color w:val="ee0000"/>
        </w:rPr>
      </w:pPr>
      <w:r w:rsidDel="00000000" w:rsidR="00000000" w:rsidRPr="00000000">
        <w:rPr>
          <w:color w:val="ee0000"/>
          <w:rtl w:val="0"/>
        </w:rPr>
        <w:t xml:space="preserve">Exemplo:  Nesta etapa, serão aplicadas técnicas de limpeza de dados. Variáveis preditivas como precipitação acumulada (24h, 48h, 72h), umidade relativa, temperatura e pressão atmosférica serão construídas. Devido à natureza rara dos desastres naturais, antecipa-se um severo desbalanceamento de classes. Para mitigar esse problema, serão avaliadas técnicas de superamostragem baseada em vizinhança sintética (SMOTE - Synthetic Minority Over-sampling Technique) e/ou a adoção de funções de perda ponderadas (class weights) diretamente nos algoritmos.</w:t>
      </w:r>
    </w:p>
    <w:p w:rsidR="00000000" w:rsidDel="00000000" w:rsidP="00000000" w:rsidRDefault="00000000" w:rsidRPr="00000000" w14:paraId="00000075">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76">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Modelagem Preditiva</w:t>
      </w:r>
    </w:p>
    <w:p w:rsidR="00000000" w:rsidDel="00000000" w:rsidP="00000000" w:rsidRDefault="00000000" w:rsidRPr="00000000" w14:paraId="00000077">
      <w:pPr>
        <w:tabs>
          <w:tab w:val="left" w:leader="none" w:pos="426"/>
        </w:tabs>
        <w:spacing w:after="0" w:line="288" w:lineRule="auto"/>
        <w:ind w:right="0"/>
        <w:jc w:val="both"/>
        <w:rPr>
          <w:color w:val="ee0000"/>
        </w:rPr>
      </w:pPr>
      <w:r w:rsidDel="00000000" w:rsidR="00000000" w:rsidRPr="00000000">
        <w:rPr>
          <w:color w:val="ee0000"/>
          <w:rtl w:val="0"/>
        </w:rPr>
        <w:t xml:space="preserve">Exemplo:  A experimentação iniciará com o estabelecimento de um baseline preditivo e interpretável, utilizando Regressão Logística. Em seguida, os experimentos avançarão para modelos de aprendizado de máquina baseados em árvores de decisão (Random Forest e XGBoost) e um modelo baseado em redes neurais artificiais (Perceptron de Múltiplas Camadas - MLP). A busca pelos melhores hiperparâmetros será realizada por meio de técnicas de otimização, como Grid Search ou Random Search.</w:t>
      </w:r>
    </w:p>
    <w:p w:rsidR="00000000" w:rsidDel="00000000" w:rsidP="00000000" w:rsidRDefault="00000000" w:rsidRPr="00000000" w14:paraId="00000078">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79">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Estratégia de Validação e Métricas de Avaliação</w:t>
      </w:r>
    </w:p>
    <w:p w:rsidR="00000000" w:rsidDel="00000000" w:rsidP="00000000" w:rsidRDefault="00000000" w:rsidRPr="00000000" w14:paraId="0000007A">
      <w:pPr>
        <w:tabs>
          <w:tab w:val="left" w:leader="none" w:pos="426"/>
        </w:tabs>
        <w:spacing w:after="0" w:line="288" w:lineRule="auto"/>
        <w:ind w:right="0"/>
        <w:jc w:val="both"/>
        <w:rPr>
          <w:color w:val="ee0000"/>
        </w:rPr>
      </w:pPr>
      <w:r w:rsidDel="00000000" w:rsidR="00000000" w:rsidRPr="00000000">
        <w:rPr>
          <w:color w:val="ee0000"/>
          <w:rtl w:val="0"/>
        </w:rPr>
        <w:t xml:space="preserve">Exemplo:  Para evitar o vazamento de dados (data leakage) do futuro para o passado, não será utilizada a validação cruzada aleatória tradicional (K-Fold). Em vez disso, será adotada uma validação cruzada temporal (Time Series Split/Walk-Forward Validation). Como métricas de avaliação, uma vez que a acurácia global é enganosa em contextos desbalanceados, a pesquisa priorizará o Recall (importante para minimizar Falsos Negativos, cruciais em risco de vida), Precision, F1-score e a área sob a curva de Precisão-Revocação (PR-AUC).</w:t>
      </w:r>
    </w:p>
    <w:p w:rsidR="00000000" w:rsidDel="00000000" w:rsidP="00000000" w:rsidRDefault="00000000" w:rsidRPr="00000000" w14:paraId="0000007B">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7C">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Interpretabilidade e Explicabilidade (XAI)</w:t>
      </w:r>
    </w:p>
    <w:p w:rsidR="00000000" w:rsidDel="00000000" w:rsidP="00000000" w:rsidRDefault="00000000" w:rsidRPr="00000000" w14:paraId="0000007D">
      <w:pPr>
        <w:tabs>
          <w:tab w:val="left" w:leader="none" w:pos="426"/>
        </w:tabs>
        <w:spacing w:after="0" w:line="288" w:lineRule="auto"/>
        <w:ind w:right="0"/>
        <w:jc w:val="both"/>
        <w:rPr>
          <w:color w:val="ee0000"/>
        </w:rPr>
      </w:pPr>
      <w:r w:rsidDel="00000000" w:rsidR="00000000" w:rsidRPr="00000000">
        <w:rPr>
          <w:color w:val="ee0000"/>
          <w:rtl w:val="0"/>
        </w:rPr>
        <w:t xml:space="preserve">Exemplo:  Para justificar a confiabilidade do modelo para potenciais tomadores de decisão (como a Defesa Civil), será aplicada a biblioteca computacional SHAP. Esta técnica permitirá decompor as predições do modelo de "caixa preta" (como XGBoost ou Redes Neurais), mapeando a contribuição exata de cada variável meteorológica e permitindo compreender o raciocínio físico por trás do alerta gerado pelo algoritmo.</w:t>
      </w:r>
    </w:p>
    <w:p w:rsidR="00000000" w:rsidDel="00000000" w:rsidP="00000000" w:rsidRDefault="00000000" w:rsidRPr="00000000" w14:paraId="0000007E">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7F">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0">
      <w:pPr>
        <w:tabs>
          <w:tab w:val="left" w:leader="none" w:pos="426"/>
        </w:tabs>
        <w:spacing w:after="0" w:line="288" w:lineRule="auto"/>
        <w:ind w:right="0"/>
        <w:jc w:val="both"/>
        <w:rPr>
          <w:color w:val="002060"/>
        </w:rPr>
      </w:pPr>
      <w:r w:rsidDel="00000000" w:rsidR="00000000" w:rsidRPr="00000000">
        <w:rPr>
          <w:b w:val="1"/>
          <w:bCs w:val="1"/>
          <w:color w:val="ee0000"/>
          <w:rtl w:val="0"/>
        </w:rPr>
        <w:t xml:space="preserve">Colocar sempre as referências bibliográficas nas normas atuais da ABNT</w:t>
      </w:r>
      <w:r w:rsidDel="00000000" w:rsidR="00000000" w:rsidRPr="00000000">
        <w:rPr>
          <w:color w:val="002060"/>
          <w:rtl w:val="0"/>
        </w:rPr>
        <w:t xml:space="preserve">, com padronização de autoria institucional, títulos e elementos. Em ordem alfabética.</w:t>
      </w:r>
    </w:p>
    <w:p w:rsidR="00000000" w:rsidDel="00000000" w:rsidP="00000000" w:rsidRDefault="00000000" w:rsidRPr="00000000" w14:paraId="00000081">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2">
      <w:pPr>
        <w:tabs>
          <w:tab w:val="left" w:leader="none" w:pos="426"/>
        </w:tabs>
        <w:spacing w:after="0" w:line="288" w:lineRule="auto"/>
        <w:ind w:right="0"/>
        <w:jc w:val="both"/>
        <w:rPr>
          <w:b w:val="1"/>
          <w:bCs w:val="1"/>
          <w:color w:val="ee0000"/>
        </w:rPr>
      </w:pPr>
      <w:r w:rsidDel="00000000" w:rsidR="00000000" w:rsidRPr="00000000">
        <w:rPr>
          <w:b w:val="1"/>
          <w:bCs w:val="1"/>
          <w:color w:val="ee0000"/>
          <w:rtl w:val="0"/>
        </w:rPr>
        <w:t xml:space="preserve">Montar a seção completa de Referências do TCC.</w:t>
      </w:r>
    </w:p>
    <w:p w:rsidR="00000000" w:rsidDel="00000000" w:rsidP="00000000" w:rsidRDefault="00000000" w:rsidRPr="00000000" w14:paraId="00000083">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4">
      <w:pPr>
        <w:tabs>
          <w:tab w:val="left" w:leader="none" w:pos="426"/>
        </w:tabs>
        <w:spacing w:after="0" w:line="288" w:lineRule="auto"/>
        <w:ind w:right="0"/>
        <w:jc w:val="both"/>
        <w:rPr>
          <w:color w:val="002060"/>
        </w:rPr>
      </w:pPr>
      <w:r w:rsidDel="00000000" w:rsidR="00000000" w:rsidRPr="00000000">
        <w:rPr>
          <w:color w:val="002060"/>
          <w:rtl w:val="0"/>
        </w:rPr>
        <w:t xml:space="preserve">Exemplo:</w:t>
      </w:r>
    </w:p>
    <w:p w:rsidR="00000000" w:rsidDel="00000000" w:rsidP="00000000" w:rsidRDefault="00000000" w:rsidRPr="00000000" w14:paraId="00000085">
      <w:pPr>
        <w:tabs>
          <w:tab w:val="left" w:leader="none" w:pos="426"/>
        </w:tabs>
        <w:spacing w:after="0" w:line="288" w:lineRule="auto"/>
        <w:ind w:right="0"/>
        <w:jc w:val="both"/>
        <w:rPr>
          <w:color w:val="002060"/>
        </w:rPr>
      </w:pPr>
      <w:r w:rsidDel="00000000" w:rsidR="00000000" w:rsidRPr="00000000">
        <w:rPr>
          <w:color w:val="002060"/>
          <w:rtl w:val="0"/>
        </w:rPr>
        <w:t xml:space="preserve">BRASIL. Ministério da Integração e do Desenvolvimento Regional. Sistema Integrado de Informações sobre Desastres (S2ID). Disponível em: https://s2id.mi.gov.br/. Acesso em: 20 mar. 2026.</w:t>
      </w:r>
    </w:p>
    <w:p w:rsidR="00000000" w:rsidDel="00000000" w:rsidP="00000000" w:rsidRDefault="00000000" w:rsidRPr="00000000" w14:paraId="00000086">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7">
      <w:pPr>
        <w:tabs>
          <w:tab w:val="left" w:leader="none" w:pos="426"/>
        </w:tabs>
        <w:spacing w:after="0" w:line="288" w:lineRule="auto"/>
        <w:ind w:right="0"/>
        <w:jc w:val="both"/>
        <w:rPr>
          <w:color w:val="002060"/>
        </w:rPr>
      </w:pPr>
      <w:r w:rsidDel="00000000" w:rsidR="00000000" w:rsidRPr="00000000">
        <w:rPr>
          <w:color w:val="002060"/>
          <w:rtl w:val="0"/>
        </w:rPr>
        <w:t xml:space="preserve">BREIMAN, Leo. Random forests. Machine Learning, [s. l.], v. 45, n. 1, p. 5-32, 2001.</w:t>
      </w:r>
    </w:p>
    <w:p w:rsidR="00000000" w:rsidDel="00000000" w:rsidP="00000000" w:rsidRDefault="00000000" w:rsidRPr="00000000" w14:paraId="00000088">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9">
      <w:pPr>
        <w:tabs>
          <w:tab w:val="left" w:leader="none" w:pos="426"/>
        </w:tabs>
        <w:spacing w:after="0" w:line="288" w:lineRule="auto"/>
        <w:ind w:right="0"/>
        <w:jc w:val="both"/>
        <w:rPr>
          <w:color w:val="002060"/>
        </w:rPr>
      </w:pPr>
      <w:r w:rsidDel="00000000" w:rsidR="00000000" w:rsidRPr="00000000">
        <w:rPr>
          <w:color w:val="002060"/>
          <w:rtl w:val="0"/>
        </w:rPr>
        <w:t xml:space="preserve">CAMARINHA, Pedro Ivo Mioni. Vulnerabilidade aos desastres naturais decorrentes de deslizamentos de terra em cenários de mudanças climáticas na porção norte da região serrana do estado do Rio de Janeiro. São José dos Campos: INPE, 2016. Disponível em: http://mtc-m21b.sid.inpe.br/col/sid.inpe.br/mtc-m21b/2016/06.19.03.49/doc/publicacao.pdf. Acesso em: 20 abr. 2026.</w:t>
      </w:r>
    </w:p>
    <w:p w:rsidR="00000000" w:rsidDel="00000000" w:rsidP="00000000" w:rsidRDefault="00000000" w:rsidRPr="00000000" w14:paraId="0000008A">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B">
      <w:pPr>
        <w:tabs>
          <w:tab w:val="left" w:leader="none" w:pos="426"/>
        </w:tabs>
        <w:spacing w:after="0" w:line="288" w:lineRule="auto"/>
        <w:ind w:right="0"/>
        <w:jc w:val="both"/>
        <w:rPr>
          <w:color w:val="002060"/>
        </w:rPr>
      </w:pPr>
      <w:r w:rsidDel="00000000" w:rsidR="00000000" w:rsidRPr="00000000">
        <w:rPr>
          <w:color w:val="002060"/>
          <w:rtl w:val="0"/>
        </w:rPr>
        <w:t xml:space="preserve">CENTRO NACIONAL DE MONITORAMENTO E ALERTAS DE DESASTRES NATURAIS (CEMADEN). Mapa interativo. Disponível em: https://mapainterativo.cemaden.gov.br/. Acesso em: 26 mar. 2026.</w:t>
      </w:r>
    </w:p>
    <w:p w:rsidR="00000000" w:rsidDel="00000000" w:rsidP="00000000" w:rsidRDefault="00000000" w:rsidRPr="00000000" w14:paraId="0000008C">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D">
      <w:pPr>
        <w:tabs>
          <w:tab w:val="left" w:leader="none" w:pos="426"/>
        </w:tabs>
        <w:spacing w:after="0" w:line="288" w:lineRule="auto"/>
        <w:ind w:right="0"/>
        <w:jc w:val="both"/>
        <w:rPr>
          <w:color w:val="002060"/>
        </w:rPr>
      </w:pPr>
      <w:r w:rsidDel="00000000" w:rsidR="00000000" w:rsidRPr="00000000">
        <w:rPr>
          <w:color w:val="002060"/>
          <w:rtl w:val="0"/>
        </w:rPr>
        <w:t xml:space="preserve">CENTRO NACIONAL DE MONITORAMENTO E ALERTAS DE DESASTRES NATURAIS (CEMADEN). Atlas brasileiro de desastres naturais 1991 a 2012. Disponível em: https://educacao.cemaden.gov.br/wp-content/uploads/2017/07/atlas_brasileiro_desastres_naturais.pdf. Acesso em: 20 abr. 2026.</w:t>
      </w:r>
    </w:p>
    <w:p w:rsidR="00000000" w:rsidDel="00000000" w:rsidP="00000000" w:rsidRDefault="00000000" w:rsidRPr="00000000" w14:paraId="0000008E">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8F">
      <w:pPr>
        <w:tabs>
          <w:tab w:val="left" w:leader="none" w:pos="426"/>
        </w:tabs>
        <w:spacing w:after="0" w:line="288" w:lineRule="auto"/>
        <w:ind w:right="0"/>
        <w:jc w:val="both"/>
        <w:rPr>
          <w:color w:val="002060"/>
        </w:rPr>
      </w:pPr>
      <w:r w:rsidDel="00000000" w:rsidR="00000000" w:rsidRPr="00000000">
        <w:rPr>
          <w:color w:val="002060"/>
          <w:rtl w:val="0"/>
        </w:rPr>
        <w:t xml:space="preserve">CHEN, Tianqi; GUESTRIN, Carlos. XGBoost: a scalable tree boosting system. In: ACM SIGKDD INTERNATIONAL CONFERENCE ON KNOWLEDGE DISCOVERY AND DATA MINING, 22., 2016. Proceedings [...]. New York: ACM, 2016. p. 785-794.</w:t>
      </w:r>
    </w:p>
    <w:p w:rsidR="00000000" w:rsidDel="00000000" w:rsidP="00000000" w:rsidRDefault="00000000" w:rsidRPr="00000000" w14:paraId="00000090">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1">
      <w:pPr>
        <w:tabs>
          <w:tab w:val="left" w:leader="none" w:pos="426"/>
        </w:tabs>
        <w:spacing w:after="0" w:line="288" w:lineRule="auto"/>
        <w:ind w:right="0"/>
        <w:jc w:val="both"/>
        <w:rPr>
          <w:color w:val="002060"/>
        </w:rPr>
      </w:pPr>
      <w:r w:rsidDel="00000000" w:rsidR="00000000" w:rsidRPr="00000000">
        <w:rPr>
          <w:color w:val="002060"/>
          <w:rtl w:val="0"/>
        </w:rPr>
        <w:t xml:space="preserve">CHOLLET, François. Deep learning with Python. 2. ed. Shelter Island: Manning, 2021.</w:t>
      </w:r>
    </w:p>
    <w:p w:rsidR="00000000" w:rsidDel="00000000" w:rsidP="00000000" w:rsidRDefault="00000000" w:rsidRPr="00000000" w14:paraId="00000092">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3">
      <w:pPr>
        <w:tabs>
          <w:tab w:val="left" w:leader="none" w:pos="426"/>
        </w:tabs>
        <w:spacing w:after="0" w:line="288" w:lineRule="auto"/>
        <w:ind w:right="0"/>
        <w:jc w:val="both"/>
        <w:rPr>
          <w:color w:val="002060"/>
        </w:rPr>
      </w:pPr>
      <w:r w:rsidDel="00000000" w:rsidR="00000000" w:rsidRPr="00000000">
        <w:rPr>
          <w:color w:val="002060"/>
          <w:rtl w:val="0"/>
        </w:rPr>
        <w:t xml:space="preserve">EMPRESA BRASILEIRA DE PESQUISA AGROPECUÁRIA (EMBRAPA). GeoInfo. Disponível em: https://geoinfo.dados.embrapa.br. Acesso em: 26 mar. 2026.</w:t>
      </w:r>
    </w:p>
    <w:p w:rsidR="00000000" w:rsidDel="00000000" w:rsidP="00000000" w:rsidRDefault="00000000" w:rsidRPr="00000000" w14:paraId="00000094">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5">
      <w:pPr>
        <w:tabs>
          <w:tab w:val="left" w:leader="none" w:pos="426"/>
        </w:tabs>
        <w:spacing w:after="0" w:line="288" w:lineRule="auto"/>
        <w:ind w:right="0"/>
        <w:jc w:val="both"/>
        <w:rPr>
          <w:color w:val="002060"/>
        </w:rPr>
      </w:pPr>
      <w:r w:rsidDel="00000000" w:rsidR="00000000" w:rsidRPr="00000000">
        <w:rPr>
          <w:color w:val="002060"/>
          <w:rtl w:val="0"/>
        </w:rPr>
        <w:t xml:space="preserve">GOODFELLOW, Ian; BENGIO, Yoshua; COURVILLE, Aaron. Deep learning. Cambridge: MIT Press, 2016.</w:t>
      </w:r>
    </w:p>
    <w:p w:rsidR="00000000" w:rsidDel="00000000" w:rsidP="00000000" w:rsidRDefault="00000000" w:rsidRPr="00000000" w14:paraId="00000096">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7">
      <w:pPr>
        <w:tabs>
          <w:tab w:val="left" w:leader="none" w:pos="426"/>
        </w:tabs>
        <w:spacing w:after="0" w:line="288" w:lineRule="auto"/>
        <w:ind w:right="0"/>
        <w:jc w:val="both"/>
        <w:rPr>
          <w:color w:val="002060"/>
        </w:rPr>
      </w:pPr>
      <w:r w:rsidDel="00000000" w:rsidR="00000000" w:rsidRPr="00000000">
        <w:rPr>
          <w:color w:val="002060"/>
          <w:rtl w:val="0"/>
        </w:rPr>
        <w:t xml:space="preserve">INSTITUTO NACIONAL DE METEOROLOGIA (INMET). Dados históricos. Disponível em: https://portal.inmet.gov.br/dadoshistoricos. Acesso em: 20 mar. 2026.</w:t>
      </w:r>
    </w:p>
    <w:p w:rsidR="00000000" w:rsidDel="00000000" w:rsidP="00000000" w:rsidRDefault="00000000" w:rsidRPr="00000000" w14:paraId="00000098">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9">
      <w:pPr>
        <w:tabs>
          <w:tab w:val="left" w:leader="none" w:pos="426"/>
        </w:tabs>
        <w:spacing w:after="0" w:line="288" w:lineRule="auto"/>
        <w:ind w:right="0"/>
        <w:jc w:val="both"/>
        <w:rPr>
          <w:color w:val="002060"/>
        </w:rPr>
      </w:pPr>
      <w:r w:rsidDel="00000000" w:rsidR="00000000" w:rsidRPr="00000000">
        <w:rPr>
          <w:color w:val="002060"/>
          <w:rtl w:val="0"/>
        </w:rPr>
        <w:t xml:space="preserve">INTERGOVERNMENTAL PANEL ON CLIMATE CHANGE (IPCC). Climate Change 2021: The Physical Science Basis. Cambridge: Cambridge University Press, 2021.</w:t>
      </w:r>
    </w:p>
    <w:p w:rsidR="00000000" w:rsidDel="00000000" w:rsidP="00000000" w:rsidRDefault="00000000" w:rsidRPr="00000000" w14:paraId="0000009A">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B">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C">
      <w:pPr>
        <w:tabs>
          <w:tab w:val="left" w:leader="none" w:pos="426"/>
        </w:tabs>
        <w:spacing w:after="0" w:line="288" w:lineRule="auto"/>
        <w:ind w:right="0"/>
        <w:jc w:val="both"/>
        <w:rPr>
          <w:color w:val="002060"/>
        </w:rPr>
      </w:pPr>
      <w:r w:rsidDel="00000000" w:rsidR="00000000" w:rsidRPr="00000000">
        <w:rPr>
          <w:color w:val="002060"/>
          <w:rtl w:val="0"/>
        </w:rPr>
        <w:t xml:space="preserve">PEDREGOSA, F. et al. Scikit-learn: Machine Learning in Python. Journal of Machine Learning Research, v. 12, p. 2825–2830, 2011.</w:t>
      </w:r>
    </w:p>
    <w:p w:rsidR="00000000" w:rsidDel="00000000" w:rsidP="00000000" w:rsidRDefault="00000000" w:rsidRPr="00000000" w14:paraId="0000009D">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9E">
      <w:pPr>
        <w:tabs>
          <w:tab w:val="left" w:leader="none" w:pos="426"/>
        </w:tabs>
        <w:spacing w:after="0" w:line="288" w:lineRule="auto"/>
        <w:ind w:right="0"/>
        <w:jc w:val="both"/>
        <w:rPr>
          <w:color w:val="002060"/>
        </w:rPr>
      </w:pPr>
      <w:r w:rsidDel="00000000" w:rsidR="00000000" w:rsidRPr="00000000">
        <w:rPr>
          <w:color w:val="002060"/>
          <w:rtl w:val="0"/>
        </w:rPr>
        <w:t xml:space="preserve">TRAJBER, Rachel; OLIVATTO, Gabriel Machado; MARCHEZINE, Victor. Conceitos e termos para a gestão de riscos de desastres na educação. São José dos Campos: CEMADEN, 2017. Disponível em: https://educacao.cemaden.gov.br/wp-content/uploads/2017/04/Conceitos_riscos_desastres_Trajber_Olivatto_Marchezine.pdf. Acesso em: 20 abr. 2026.</w:t>
      </w:r>
    </w:p>
    <w:p w:rsidR="00000000" w:rsidDel="00000000" w:rsidP="00000000" w:rsidRDefault="00000000" w:rsidRPr="00000000" w14:paraId="0000009F">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A0">
      <w:pPr>
        <w:tabs>
          <w:tab w:val="left" w:leader="none" w:pos="426"/>
        </w:tabs>
        <w:spacing w:after="0" w:line="288" w:lineRule="auto"/>
        <w:ind w:right="0"/>
        <w:jc w:val="both"/>
        <w:rPr>
          <w:color w:val="002060"/>
        </w:rPr>
      </w:pPr>
      <w:r w:rsidDel="00000000" w:rsidR="00000000" w:rsidRPr="00000000">
        <w:rPr>
          <w:color w:val="002060"/>
          <w:rtl w:val="0"/>
        </w:rPr>
        <w:t xml:space="preserve">KUNKEL, K. E. et al. Trends and Extremes in Precipitation in a Changing Climate. Journal of Hydrology, v. 593, 2021.</w:t>
      </w:r>
    </w:p>
    <w:p w:rsidR="00000000" w:rsidDel="00000000" w:rsidP="00000000" w:rsidRDefault="00000000" w:rsidRPr="00000000" w14:paraId="000000A1">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A2">
      <w:pPr>
        <w:tabs>
          <w:tab w:val="left" w:leader="none" w:pos="426"/>
        </w:tabs>
        <w:spacing w:after="0" w:line="288" w:lineRule="auto"/>
        <w:ind w:right="0"/>
        <w:jc w:val="both"/>
        <w:rPr>
          <w:color w:val="002060"/>
        </w:rPr>
      </w:pPr>
      <w:r w:rsidDel="00000000" w:rsidR="00000000" w:rsidRPr="00000000">
        <w:rPr>
          <w:color w:val="002060"/>
          <w:rtl w:val="0"/>
        </w:rPr>
        <w:t xml:space="preserve">ZHANG, Q. et al. Machine learning-based prediction of floods: A review. Environmental Modelling &amp; Software, v. 117, p. 1–14, 2019.</w:t>
      </w:r>
    </w:p>
    <w:p w:rsidR="00000000" w:rsidDel="00000000" w:rsidP="00000000" w:rsidRDefault="00000000" w:rsidRPr="00000000" w14:paraId="000000A3">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A4">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A5">
      <w:pPr>
        <w:tabs>
          <w:tab w:val="left" w:leader="none" w:pos="426"/>
        </w:tabs>
        <w:spacing w:after="0" w:line="288" w:lineRule="auto"/>
        <w:ind w:right="0"/>
        <w:jc w:val="both"/>
        <w:rPr>
          <w:b w:val="1"/>
          <w:bCs w:val="1"/>
          <w:color w:val="ee0000"/>
        </w:rPr>
      </w:pPr>
      <w:r w:rsidDel="00000000" w:rsidR="00000000" w:rsidRPr="00000000">
        <w:rPr>
          <w:b w:val="1"/>
          <w:bCs w:val="1"/>
          <w:color w:val="ee0000"/>
          <w:rtl w:val="0"/>
        </w:rPr>
        <w:t xml:space="preserve">As referências devem incluir:</w:t>
      </w:r>
    </w:p>
    <w:p w:rsidR="00000000" w:rsidDel="00000000" w:rsidP="00000000" w:rsidRDefault="00000000" w:rsidRPr="00000000" w14:paraId="000000A6">
      <w:pPr>
        <w:tabs>
          <w:tab w:val="left" w:leader="none" w:pos="426"/>
        </w:tabs>
        <w:spacing w:after="0" w:line="288" w:lineRule="auto"/>
        <w:ind w:right="0"/>
        <w:jc w:val="both"/>
        <w:rPr>
          <w:color w:val="ee0000"/>
        </w:rPr>
      </w:pPr>
      <w:r w:rsidDel="00000000" w:rsidR="00000000" w:rsidRPr="00000000">
        <w:rPr>
          <w:color w:val="ee0000"/>
          <w:rtl w:val="0"/>
        </w:rPr>
        <w:t xml:space="preserve">Bases reais de dados brasileiros (INMET, S2ID, CEMADEN, EMBRAPA)</w:t>
      </w:r>
    </w:p>
    <w:p w:rsidR="00000000" w:rsidDel="00000000" w:rsidP="00000000" w:rsidRDefault="00000000" w:rsidRPr="00000000" w14:paraId="000000A7">
      <w:pPr>
        <w:tabs>
          <w:tab w:val="left" w:leader="none" w:pos="426"/>
        </w:tabs>
        <w:spacing w:after="0" w:line="288" w:lineRule="auto"/>
        <w:ind w:right="0"/>
        <w:jc w:val="both"/>
        <w:rPr>
          <w:color w:val="ee0000"/>
        </w:rPr>
      </w:pPr>
      <w:r w:rsidDel="00000000" w:rsidR="00000000" w:rsidRPr="00000000">
        <w:rPr>
          <w:color w:val="ee0000"/>
          <w:rtl w:val="0"/>
        </w:rPr>
        <w:t xml:space="preserve">Artigos clássicos de ML (Random Forest, XGBoost)</w:t>
      </w:r>
    </w:p>
    <w:p w:rsidR="00000000" w:rsidDel="00000000" w:rsidP="00000000" w:rsidRDefault="00000000" w:rsidRPr="00000000" w14:paraId="000000A8">
      <w:pPr>
        <w:tabs>
          <w:tab w:val="left" w:leader="none" w:pos="426"/>
        </w:tabs>
        <w:spacing w:after="0" w:line="288" w:lineRule="auto"/>
        <w:ind w:right="0"/>
        <w:jc w:val="both"/>
        <w:rPr>
          <w:color w:val="ee0000"/>
        </w:rPr>
      </w:pPr>
      <w:r w:rsidDel="00000000" w:rsidR="00000000" w:rsidRPr="00000000">
        <w:rPr>
          <w:color w:val="ee0000"/>
          <w:rtl w:val="0"/>
        </w:rPr>
        <w:t xml:space="preserve">Livros fundamentais (Goodfellow, Chollet)</w:t>
      </w:r>
    </w:p>
    <w:p w:rsidR="00000000" w:rsidDel="00000000" w:rsidP="00000000" w:rsidRDefault="00000000" w:rsidRPr="00000000" w14:paraId="000000A9">
      <w:pPr>
        <w:tabs>
          <w:tab w:val="left" w:leader="none" w:pos="426"/>
        </w:tabs>
        <w:spacing w:after="0" w:line="288" w:lineRule="auto"/>
        <w:ind w:right="0"/>
        <w:jc w:val="both"/>
        <w:rPr>
          <w:color w:val="ee0000"/>
        </w:rPr>
      </w:pPr>
      <w:r w:rsidDel="00000000" w:rsidR="00000000" w:rsidRPr="00000000">
        <w:rPr>
          <w:color w:val="ee0000"/>
          <w:rtl w:val="0"/>
        </w:rPr>
        <w:t xml:space="preserve">Artigos aplicados a desastres climáticos</w:t>
      </w:r>
    </w:p>
    <w:p w:rsidR="00000000" w:rsidDel="00000000" w:rsidP="00000000" w:rsidRDefault="00000000" w:rsidRPr="00000000" w14:paraId="000000AA">
      <w:pPr>
        <w:tabs>
          <w:tab w:val="left" w:leader="none" w:pos="426"/>
        </w:tabs>
        <w:spacing w:after="0" w:line="288" w:lineRule="auto"/>
        <w:ind w:right="0"/>
        <w:jc w:val="both"/>
        <w:rPr>
          <w:color w:val="ee0000"/>
        </w:rPr>
      </w:pPr>
      <w:r w:rsidDel="00000000" w:rsidR="00000000" w:rsidRPr="00000000">
        <w:rPr>
          <w:color w:val="ee0000"/>
          <w:rtl w:val="0"/>
        </w:rPr>
        <w:t xml:space="preserve">artigos brasileiros (CEMADEN, INPE, revistas como RBClima)</w:t>
      </w:r>
    </w:p>
    <w:p w:rsidR="00000000" w:rsidDel="00000000" w:rsidP="00000000" w:rsidRDefault="00000000" w:rsidRPr="00000000" w14:paraId="000000AB">
      <w:pPr>
        <w:tabs>
          <w:tab w:val="left" w:leader="none" w:pos="426"/>
        </w:tabs>
        <w:spacing w:after="0" w:line="288" w:lineRule="auto"/>
        <w:ind w:right="0"/>
        <w:jc w:val="both"/>
        <w:rPr>
          <w:color w:val="ee0000"/>
        </w:rPr>
      </w:pPr>
      <w:r w:rsidDel="00000000" w:rsidR="00000000" w:rsidRPr="00000000">
        <w:rPr>
          <w:color w:val="ee0000"/>
          <w:rtl w:val="0"/>
        </w:rPr>
        <w:t xml:space="preserve">pelo menos 1 estudo aplicado especificamente ao Brasil</w:t>
      </w:r>
    </w:p>
    <w:p w:rsidR="00000000" w:rsidDel="00000000" w:rsidP="00000000" w:rsidRDefault="00000000" w:rsidRPr="00000000" w14:paraId="000000AC">
      <w:pPr>
        <w:tabs>
          <w:tab w:val="left" w:leader="none" w:pos="426"/>
        </w:tabs>
        <w:spacing w:after="0" w:line="288" w:lineRule="auto"/>
        <w:ind w:right="0"/>
        <w:jc w:val="both"/>
        <w:rPr>
          <w:color w:val="ee0000"/>
        </w:rPr>
      </w:pPr>
      <w:r w:rsidDel="00000000" w:rsidR="00000000" w:rsidRPr="00000000">
        <w:rPr>
          <w:color w:val="ee0000"/>
          <w:rtl w:val="0"/>
        </w:rPr>
        <w:t xml:space="preserve">artigos específicos sobre enchentes/deslizamentos no Sudeste do Brasil</w:t>
      </w:r>
    </w:p>
    <w:p w:rsidR="00000000" w:rsidDel="00000000" w:rsidP="00000000" w:rsidRDefault="00000000" w:rsidRPr="00000000" w14:paraId="000000AD">
      <w:pPr>
        <w:tabs>
          <w:tab w:val="left" w:leader="none" w:pos="426"/>
        </w:tabs>
        <w:spacing w:after="0" w:line="288" w:lineRule="auto"/>
        <w:ind w:right="0"/>
        <w:jc w:val="both"/>
        <w:rPr>
          <w:color w:val="ee0000"/>
        </w:rPr>
      </w:pPr>
      <w:r w:rsidDel="00000000" w:rsidR="00000000" w:rsidRPr="00000000">
        <w:rPr>
          <w:color w:val="ee0000"/>
          <w:rtl w:val="0"/>
        </w:rPr>
        <w:t xml:space="preserve">bases oficiais brasileiras;</w:t>
      </w:r>
    </w:p>
    <w:p w:rsidR="00000000" w:rsidDel="00000000" w:rsidP="00000000" w:rsidRDefault="00000000" w:rsidRPr="00000000" w14:paraId="000000AE">
      <w:pPr>
        <w:tabs>
          <w:tab w:val="left" w:leader="none" w:pos="426"/>
        </w:tabs>
        <w:spacing w:after="0" w:line="288" w:lineRule="auto"/>
        <w:ind w:right="0"/>
        <w:jc w:val="both"/>
        <w:rPr>
          <w:color w:val="ee0000"/>
        </w:rPr>
      </w:pPr>
      <w:r w:rsidDel="00000000" w:rsidR="00000000" w:rsidRPr="00000000">
        <w:rPr>
          <w:color w:val="ee0000"/>
          <w:rtl w:val="0"/>
        </w:rPr>
        <w:t xml:space="preserve">documentos institucionais confiáveis;</w:t>
      </w:r>
    </w:p>
    <w:p w:rsidR="00000000" w:rsidDel="00000000" w:rsidP="00000000" w:rsidRDefault="00000000" w:rsidRPr="00000000" w14:paraId="000000AF">
      <w:pPr>
        <w:tabs>
          <w:tab w:val="left" w:leader="none" w:pos="426"/>
        </w:tabs>
        <w:spacing w:after="0" w:line="288" w:lineRule="auto"/>
        <w:ind w:right="0"/>
        <w:jc w:val="both"/>
        <w:rPr>
          <w:color w:val="ee0000"/>
        </w:rPr>
      </w:pPr>
      <w:r w:rsidDel="00000000" w:rsidR="00000000" w:rsidRPr="00000000">
        <w:rPr>
          <w:color w:val="ee0000"/>
          <w:rtl w:val="0"/>
        </w:rPr>
        <w:t xml:space="preserve">obras clássicas de machine learning;</w:t>
      </w:r>
    </w:p>
    <w:p w:rsidR="00000000" w:rsidDel="00000000" w:rsidP="00000000" w:rsidRDefault="00000000" w:rsidRPr="00000000" w14:paraId="000000B0">
      <w:pPr>
        <w:tabs>
          <w:tab w:val="left" w:leader="none" w:pos="426"/>
        </w:tabs>
        <w:spacing w:after="0" w:line="288" w:lineRule="auto"/>
        <w:ind w:right="0"/>
        <w:jc w:val="both"/>
        <w:rPr>
          <w:color w:val="ee0000"/>
        </w:rPr>
      </w:pPr>
      <w:r w:rsidDel="00000000" w:rsidR="00000000" w:rsidRPr="00000000">
        <w:rPr>
          <w:color w:val="ee0000"/>
          <w:rtl w:val="0"/>
        </w:rPr>
        <w:t xml:space="preserve">referências técnicas aplicáveis ao tema;</w:t>
      </w:r>
    </w:p>
    <w:p w:rsidR="00000000" w:rsidDel="00000000" w:rsidP="00000000" w:rsidRDefault="00000000" w:rsidRPr="00000000" w14:paraId="000000B1">
      <w:pPr>
        <w:tabs>
          <w:tab w:val="left" w:leader="none" w:pos="426"/>
        </w:tabs>
        <w:spacing w:after="0" w:line="288" w:lineRule="auto"/>
        <w:ind w:right="0"/>
        <w:jc w:val="both"/>
        <w:rPr>
          <w:color w:val="ee0000"/>
        </w:rPr>
      </w:pPr>
      <w:r w:rsidDel="00000000" w:rsidR="00000000" w:rsidRPr="00000000">
        <w:rPr>
          <w:color w:val="ee0000"/>
          <w:rtl w:val="0"/>
        </w:rPr>
        <w:t xml:space="preserve">materiais brasileiros relacionados a desastres, chuva extrema e monitoramento.</w:t>
      </w:r>
    </w:p>
    <w:p w:rsidR="00000000" w:rsidDel="00000000" w:rsidP="00000000" w:rsidRDefault="00000000" w:rsidRPr="00000000" w14:paraId="000000B2">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B3">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B4">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Padronização dos nomes institucionais</w:t>
      </w:r>
    </w:p>
    <w:p w:rsidR="00000000" w:rsidDel="00000000" w:rsidP="00000000" w:rsidRDefault="00000000" w:rsidRPr="00000000" w14:paraId="000000B5">
      <w:pPr>
        <w:tabs>
          <w:tab w:val="left" w:leader="none" w:pos="426"/>
        </w:tabs>
        <w:spacing w:after="0" w:line="288" w:lineRule="auto"/>
        <w:ind w:right="0"/>
        <w:jc w:val="both"/>
        <w:rPr>
          <w:color w:val="002060"/>
        </w:rPr>
      </w:pPr>
      <w:r w:rsidDel="00000000" w:rsidR="00000000" w:rsidRPr="00000000">
        <w:rPr>
          <w:color w:val="002060"/>
          <w:rtl w:val="0"/>
        </w:rPr>
        <w:t xml:space="preserve">Para TCC, a forma mais segura e aderente à ABNT é:</w:t>
      </w:r>
    </w:p>
    <w:p w:rsidR="00000000" w:rsidDel="00000000" w:rsidP="00000000" w:rsidRDefault="00000000" w:rsidRPr="00000000" w14:paraId="000000B6">
      <w:pPr>
        <w:tabs>
          <w:tab w:val="left" w:leader="none" w:pos="426"/>
        </w:tabs>
        <w:spacing w:after="0" w:line="288" w:lineRule="auto"/>
        <w:ind w:right="0"/>
        <w:jc w:val="both"/>
        <w:rPr>
          <w:color w:val="002060"/>
        </w:rPr>
      </w:pPr>
      <w:r w:rsidDel="00000000" w:rsidR="00000000" w:rsidRPr="00000000">
        <w:rPr>
          <w:color w:val="002060"/>
          <w:rtl w:val="0"/>
        </w:rPr>
        <w:t xml:space="preserve">entrar pelo nome institucional por extenso;</w:t>
      </w:r>
    </w:p>
    <w:p w:rsidR="00000000" w:rsidDel="00000000" w:rsidP="00000000" w:rsidRDefault="00000000" w:rsidRPr="00000000" w14:paraId="000000B7">
      <w:pPr>
        <w:tabs>
          <w:tab w:val="left" w:leader="none" w:pos="426"/>
        </w:tabs>
        <w:spacing w:after="0" w:line="288" w:lineRule="auto"/>
        <w:ind w:right="0"/>
        <w:jc w:val="both"/>
        <w:rPr>
          <w:color w:val="002060"/>
        </w:rPr>
      </w:pPr>
      <w:r w:rsidDel="00000000" w:rsidR="00000000" w:rsidRPr="00000000">
        <w:rPr>
          <w:color w:val="002060"/>
          <w:rtl w:val="0"/>
        </w:rPr>
        <w:t xml:space="preserve">usar a sigla entre parênteses, quando conhecida e relevante;</w:t>
      </w:r>
    </w:p>
    <w:p w:rsidR="00000000" w:rsidDel="00000000" w:rsidP="00000000" w:rsidRDefault="00000000" w:rsidRPr="00000000" w14:paraId="000000B8">
      <w:pPr>
        <w:tabs>
          <w:tab w:val="left" w:leader="none" w:pos="426"/>
        </w:tabs>
        <w:spacing w:after="0" w:line="288" w:lineRule="auto"/>
        <w:ind w:right="0"/>
        <w:jc w:val="both"/>
        <w:rPr>
          <w:color w:val="002060"/>
        </w:rPr>
      </w:pPr>
      <w:r w:rsidDel="00000000" w:rsidR="00000000" w:rsidRPr="00000000">
        <w:rPr>
          <w:color w:val="002060"/>
          <w:rtl w:val="0"/>
        </w:rPr>
        <w:t xml:space="preserve">manter esse padrão em todas as referências institucionais.</w:t>
      </w:r>
    </w:p>
    <w:p w:rsidR="00000000" w:rsidDel="00000000" w:rsidP="00000000" w:rsidRDefault="00000000" w:rsidRPr="00000000" w14:paraId="000000B9">
      <w:pPr>
        <w:tabs>
          <w:tab w:val="left" w:leader="none" w:pos="426"/>
        </w:tabs>
        <w:spacing w:after="0" w:line="288" w:lineRule="auto"/>
        <w:ind w:right="0"/>
        <w:jc w:val="both"/>
        <w:rPr>
          <w:color w:val="002060"/>
        </w:rPr>
      </w:pPr>
      <w:r w:rsidDel="00000000" w:rsidR="00000000" w:rsidRPr="00000000">
        <w:rPr>
          <w:color w:val="002060"/>
          <w:rtl w:val="0"/>
        </w:rPr>
        <w:t xml:space="preserve">Assim, o melhor padrão é:</w:t>
      </w:r>
    </w:p>
    <w:p w:rsidR="00000000" w:rsidDel="00000000" w:rsidP="00000000" w:rsidRDefault="00000000" w:rsidRPr="00000000" w14:paraId="000000BA">
      <w:pPr>
        <w:tabs>
          <w:tab w:val="left" w:leader="none" w:pos="426"/>
        </w:tabs>
        <w:spacing w:after="0" w:line="288" w:lineRule="auto"/>
        <w:ind w:right="0"/>
        <w:jc w:val="both"/>
        <w:rPr>
          <w:color w:val="002060"/>
        </w:rPr>
      </w:pPr>
      <w:r w:rsidDel="00000000" w:rsidR="00000000" w:rsidRPr="00000000">
        <w:rPr>
          <w:color w:val="002060"/>
          <w:rtl w:val="0"/>
        </w:rPr>
        <w:t xml:space="preserve">BRASIL. Ministério da Integração e do Desenvolvimento Regional.</w:t>
      </w:r>
    </w:p>
    <w:p w:rsidR="00000000" w:rsidDel="00000000" w:rsidP="00000000" w:rsidRDefault="00000000" w:rsidRPr="00000000" w14:paraId="000000BB">
      <w:pPr>
        <w:tabs>
          <w:tab w:val="left" w:leader="none" w:pos="426"/>
        </w:tabs>
        <w:spacing w:after="0" w:line="288" w:lineRule="auto"/>
        <w:ind w:right="0"/>
        <w:jc w:val="both"/>
        <w:rPr>
          <w:color w:val="002060"/>
        </w:rPr>
      </w:pPr>
      <w:r w:rsidDel="00000000" w:rsidR="00000000" w:rsidRPr="00000000">
        <w:rPr>
          <w:color w:val="002060"/>
          <w:rtl w:val="0"/>
        </w:rPr>
        <w:t xml:space="preserve">CENTRO NACIONAL DE MONITORAMENTO E ALERTAS DE DESASTRES NATURAIS (CEMADEN).</w:t>
      </w:r>
    </w:p>
    <w:p w:rsidR="00000000" w:rsidDel="00000000" w:rsidP="00000000" w:rsidRDefault="00000000" w:rsidRPr="00000000" w14:paraId="000000BC">
      <w:pPr>
        <w:tabs>
          <w:tab w:val="left" w:leader="none" w:pos="426"/>
        </w:tabs>
        <w:spacing w:after="0" w:line="288" w:lineRule="auto"/>
        <w:ind w:right="0"/>
        <w:jc w:val="both"/>
        <w:rPr>
          <w:color w:val="002060"/>
        </w:rPr>
      </w:pPr>
      <w:r w:rsidDel="00000000" w:rsidR="00000000" w:rsidRPr="00000000">
        <w:rPr>
          <w:color w:val="002060"/>
          <w:rtl w:val="0"/>
        </w:rPr>
        <w:t xml:space="preserve">EMPRESA BRASILEIRA DE PESQUISA AGROPECUÁRIA (EMBRAPA).</w:t>
      </w:r>
    </w:p>
    <w:p w:rsidR="00000000" w:rsidDel="00000000" w:rsidP="00000000" w:rsidRDefault="00000000" w:rsidRPr="00000000" w14:paraId="000000BD">
      <w:pPr>
        <w:tabs>
          <w:tab w:val="left" w:leader="none" w:pos="426"/>
        </w:tabs>
        <w:spacing w:after="0" w:line="288" w:lineRule="auto"/>
        <w:ind w:right="0"/>
        <w:jc w:val="both"/>
        <w:rPr>
          <w:color w:val="002060"/>
        </w:rPr>
      </w:pPr>
      <w:r w:rsidDel="00000000" w:rsidR="00000000" w:rsidRPr="00000000">
        <w:rPr>
          <w:color w:val="002060"/>
          <w:rtl w:val="0"/>
        </w:rPr>
        <w:t xml:space="preserve">INSTITUTO NACIONAL DE METEOROLOGIA (INMET).</w:t>
      </w:r>
    </w:p>
    <w:p w:rsidR="00000000" w:rsidDel="00000000" w:rsidP="00000000" w:rsidRDefault="00000000" w:rsidRPr="00000000" w14:paraId="000000BE">
      <w:pPr>
        <w:tabs>
          <w:tab w:val="left" w:leader="none" w:pos="426"/>
        </w:tabs>
        <w:spacing w:after="0" w:line="288" w:lineRule="auto"/>
        <w:ind w:right="0"/>
        <w:jc w:val="both"/>
        <w:rPr>
          <w:color w:val="002060"/>
        </w:rPr>
      </w:pPr>
      <w:r w:rsidDel="00000000" w:rsidR="00000000" w:rsidRPr="00000000">
        <w:rPr>
          <w:rtl w:val="0"/>
        </w:rPr>
      </w:r>
    </w:p>
    <w:p w:rsidR="00000000" w:rsidDel="00000000" w:rsidP="00000000" w:rsidRDefault="00000000" w:rsidRPr="00000000" w14:paraId="000000BF">
      <w:pPr>
        <w:tabs>
          <w:tab w:val="left" w:leader="none" w:pos="426"/>
        </w:tabs>
        <w:spacing w:after="0" w:line="288" w:lineRule="auto"/>
        <w:ind w:right="0"/>
        <w:jc w:val="both"/>
        <w:rPr>
          <w:b w:val="1"/>
          <w:bCs w:val="1"/>
          <w:color w:val="002060"/>
        </w:rPr>
      </w:pPr>
      <w:r w:rsidDel="00000000" w:rsidR="00000000" w:rsidRPr="00000000">
        <w:rPr>
          <w:b w:val="1"/>
          <w:bCs w:val="1"/>
          <w:color w:val="002060"/>
          <w:rtl w:val="0"/>
        </w:rPr>
        <w:t xml:space="preserve">Sugestão de artigos e livros realmente úteis para o tema:</w:t>
      </w:r>
    </w:p>
    <w:p w:rsidR="00000000" w:rsidDel="00000000" w:rsidP="00000000" w:rsidRDefault="00000000" w:rsidRPr="00000000" w14:paraId="000000C0">
      <w:pPr>
        <w:tabs>
          <w:tab w:val="left" w:leader="none" w:pos="426"/>
        </w:tabs>
        <w:spacing w:after="0" w:line="288" w:lineRule="auto"/>
        <w:ind w:right="0"/>
        <w:jc w:val="both"/>
        <w:rPr>
          <w:color w:val="002060"/>
        </w:rPr>
      </w:pPr>
      <w:r w:rsidDel="00000000" w:rsidR="00000000" w:rsidRPr="00000000">
        <w:rPr>
          <w:color w:val="002060"/>
          <w:rtl w:val="0"/>
        </w:rPr>
        <w:t xml:space="preserve">Fundamentação em machine learning</w:t>
      </w:r>
    </w:p>
    <w:p w:rsidR="00000000" w:rsidDel="00000000" w:rsidP="00000000" w:rsidRDefault="00000000" w:rsidRPr="00000000" w14:paraId="000000C1">
      <w:pPr>
        <w:tabs>
          <w:tab w:val="left" w:leader="none" w:pos="426"/>
        </w:tabs>
        <w:spacing w:after="0" w:line="288" w:lineRule="auto"/>
        <w:ind w:right="0"/>
        <w:jc w:val="both"/>
        <w:rPr>
          <w:color w:val="002060"/>
        </w:rPr>
      </w:pPr>
      <w:r w:rsidDel="00000000" w:rsidR="00000000" w:rsidRPr="00000000">
        <w:rPr>
          <w:color w:val="002060"/>
          <w:rtl w:val="0"/>
        </w:rPr>
        <w:t xml:space="preserve">Base climática e desastres</w:t>
      </w:r>
    </w:p>
    <w:p w:rsidR="00000000" w:rsidDel="00000000" w:rsidP="00000000" w:rsidRDefault="00000000" w:rsidRPr="00000000" w14:paraId="000000C2">
      <w:pPr>
        <w:tabs>
          <w:tab w:val="left" w:leader="none" w:pos="426"/>
        </w:tabs>
        <w:spacing w:after="0" w:line="288" w:lineRule="auto"/>
        <w:ind w:right="0"/>
        <w:jc w:val="both"/>
        <w:rPr>
          <w:color w:val="002060"/>
        </w:rPr>
      </w:pPr>
      <w:r w:rsidDel="00000000" w:rsidR="00000000" w:rsidRPr="00000000">
        <w:rPr>
          <w:color w:val="002060"/>
          <w:rtl w:val="0"/>
        </w:rPr>
        <w:t xml:space="preserve">Aplicação direta ao tema</w:t>
      </w:r>
    </w:p>
    <w:p w:rsidR="00000000" w:rsidDel="00000000" w:rsidP="00000000" w:rsidRDefault="00000000" w:rsidRPr="00000000" w14:paraId="000000C3">
      <w:pPr>
        <w:tabs>
          <w:tab w:val="left" w:leader="none" w:pos="426"/>
        </w:tabs>
        <w:spacing w:after="0" w:line="288" w:lineRule="auto"/>
        <w:ind w:right="0"/>
        <w:jc w:val="both"/>
        <w:rPr>
          <w:color w:val="002060"/>
        </w:rPr>
      </w:pPr>
      <w:r w:rsidDel="00000000" w:rsidR="00000000" w:rsidRPr="00000000">
        <w:rPr>
          <w:color w:val="002060"/>
          <w:rtl w:val="0"/>
        </w:rPr>
        <w:t xml:space="preserve">trabalhos sobre previsão de enchentes relâmpago, flood forecasting e flood susceptibility.</w:t>
      </w:r>
    </w:p>
    <w:p w:rsidR="00000000" w:rsidDel="00000000" w:rsidP="00000000" w:rsidRDefault="00000000" w:rsidRPr="00000000" w14:paraId="000000C4">
      <w:pPr>
        <w:tabs>
          <w:tab w:val="left" w:leader="none" w:pos="426"/>
        </w:tabs>
        <w:spacing w:after="0" w:line="288" w:lineRule="auto"/>
        <w:ind w:right="0"/>
        <w:jc w:val="both"/>
        <w:rPr>
          <w:color w:val="002060"/>
        </w:rPr>
      </w:pPr>
      <w:r w:rsidDel="00000000" w:rsidR="00000000" w:rsidRPr="00000000">
        <w:rPr>
          <w:color w:val="002060"/>
          <w:rtl w:val="0"/>
        </w:rPr>
        <w:t xml:space="preserve">estudos brasileiros aplicados a bacias hidrográficas e regiões vulneráveis.</w:t>
      </w:r>
    </w:p>
    <w:p w:rsidR="00000000" w:rsidDel="00000000" w:rsidP="00000000" w:rsidRDefault="00000000" w:rsidRPr="00000000" w14:paraId="000000C5">
      <w:pPr>
        <w:rPr/>
      </w:pPr>
      <w:r w:rsidDel="00000000" w:rsidR="00000000" w:rsidRPr="00000000">
        <w:rPr>
          <w:rtl w:val="0"/>
        </w:rPr>
      </w:r>
    </w:p>
    <w:sectPr>
      <w:pgSz w:h="16838" w:w="11906" w:orient="portrait"/>
      <w:pgMar w:bottom="1417" w:top="1417" w:left="993"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kUOaCncdBoC48aTu4iNV2qQ3Q==">CgMxLjAaHwoBMBIaChgICVIUChJ0YWJsZS4zanZ2aXBkOTRobnoaHwoBMRIaChgICVIUChJ0YWJsZS5rMHV5Z3I3NnpzbXY4AHIhMV9Hc3p3TEVXVk8wemJKbHRFbmxRNExLcEE4OWxrbDZN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