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Arial" w:hAnsi="Arial"/>
          <w:b/>
          <w:smallCaps/>
          <w:color w:val="8B0000"/>
          <w:sz w:val="28"/>
        </w:rPr>
        <w:t>MURIVEST REALTY</w:t>
      </w:r>
    </w:p>
    <w:p>
      <w:pPr>
        <w:jc w:val="center"/>
      </w:pPr>
      <w:r>
        <w:rPr>
          <w:rFonts w:ascii="Arial" w:hAnsi="Arial"/>
          <w:color w:val="808080"/>
          <w:sz w:val="20"/>
        </w:rPr>
        <w:t>Enterprise Software Division</w:t>
      </w:r>
    </w:p>
    <w:p/>
    <w:p/>
    <w:p/>
    <w:p/>
    <w:p/>
    <w:p/>
    <w:p>
      <w:pPr>
        <w:jc w:val="center"/>
      </w:pPr>
      <w:r>
        <w:rPr>
          <w:rFonts w:ascii="Arial" w:hAnsi="Arial"/>
          <w:smallCaps/>
          <w:color w:val="808080"/>
          <w:sz w:val="24"/>
        </w:rPr>
        <w:t>MODULE SPEC</w:t>
      </w:r>
    </w:p>
    <w:p>
      <w:pPr>
        <w:jc w:val="center"/>
      </w:pPr>
      <w:r>
        <w:rPr>
          <w:rFonts w:ascii="Arial" w:hAnsi="Arial"/>
          <w:b/>
          <w:color w:val="1A1A1A"/>
          <w:sz w:val="72"/>
        </w:rPr>
        <w:t>Legal &amp; Compliance Module Specification</w:t>
      </w:r>
    </w:p>
    <w:p>
      <w:pPr>
        <w:jc w:val="center"/>
      </w:pPr>
      <w:r>
        <w:rPr>
          <w:rFonts w:ascii="Georgia" w:hAnsi="Georgia"/>
          <w:i/>
          <w:color w:val="4A4A4A"/>
          <w:sz w:val="28"/>
        </w:rPr>
        <w:t>Detailed Technical Specification for Legal, KYC &amp; Compliance</w:t>
      </w:r>
    </w:p>
    <w:p/>
    <w:p/>
    <w:p/>
    <w:p/>
    <w:p/>
    <w:p/>
    <w:p/>
    <w:p/>
    <w:p>
      <w:pPr>
        <w:jc w:val="center"/>
      </w:pPr>
      <w:r>
        <w:rPr>
          <w:rFonts w:ascii="Arial" w:hAnsi="Arial"/>
          <w:color w:val="808080"/>
          <w:sz w:val="20"/>
        </w:rPr>
        <w:t>Version 1.0</w:t>
      </w:r>
    </w:p>
    <w:p>
      <w:pPr>
        <w:jc w:val="center"/>
      </w:pPr>
      <w:r>
        <w:rPr>
          <w:rFonts w:ascii="Arial" w:hAnsi="Arial"/>
          <w:color w:val="808080"/>
          <w:sz w:val="20"/>
        </w:rPr>
        <w:t>April 2026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document provides detailed technical specifications for the Legal &amp; Compliance module of Murivest OS, covering KYC/AML, document management, contract tracking, and compliance monitoring.</w:t>
      </w:r>
    </w:p>
    <w:p>
      <w:pPr>
        <w:pStyle w:val="Heading2"/>
      </w:pPr>
      <w:r>
        <w:t>1.2 Module Scope</w:t>
      </w:r>
    </w:p>
    <w:p>
      <w:pPr>
        <w:pStyle w:val="ListBullet"/>
      </w:pPr>
      <w:r>
        <w:t>KYC Management: Know Your Customer verification workflows</w:t>
      </w:r>
    </w:p>
    <w:p>
      <w:pPr>
        <w:pStyle w:val="ListBullet"/>
      </w:pPr>
      <w:r>
        <w:t>AML Compliance: Anti-Money Laundering procedures</w:t>
      </w:r>
    </w:p>
    <w:p>
      <w:pPr>
        <w:pStyle w:val="ListBullet"/>
      </w:pPr>
      <w:r>
        <w:t>Document Control: Legal document management</w:t>
      </w:r>
    </w:p>
    <w:p>
      <w:pPr>
        <w:pStyle w:val="ListBullet"/>
      </w:pPr>
      <w:r>
        <w:t>Contract Tracking: Agreement lifecycle management</w:t>
      </w:r>
    </w:p>
    <w:p>
      <w:pPr>
        <w:pStyle w:val="ListBullet"/>
      </w:pPr>
      <w:r>
        <w:t>Compliance Monitoring: Regulatory requirement tracking</w:t>
      </w:r>
    </w:p>
    <w:p>
      <w:pPr>
        <w:pStyle w:val="ListBullet"/>
      </w:pPr>
      <w:r>
        <w:t>Audit Trails: Complete activity logging</w:t>
      </w:r>
    </w:p>
    <w:p>
      <w:pPr>
        <w:pStyle w:val="Heading1"/>
      </w:pPr>
      <w:r>
        <w:t>2. KYC Management</w:t>
      </w:r>
    </w:p>
    <w:p>
      <w:pPr>
        <w:pStyle w:val="Heading2"/>
      </w:pPr>
      <w:r>
        <w:t>2.1 KYC Entity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contact_id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 to contacts</w:t>
            </w:r>
          </w:p>
        </w:tc>
      </w:tr>
      <w:tr>
        <w:tc>
          <w:tcPr>
            <w:tcW w:type="dxa" w:w="2880"/>
          </w:tcPr>
          <w:p>
            <w:r>
              <w:t>kyc_type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individual, corporate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not_started, in_progress, pending_review, approved, rejected, expired</w:t>
            </w:r>
          </w:p>
        </w:tc>
      </w:tr>
      <w:tr>
        <w:tc>
          <w:tcPr>
            <w:tcW w:type="dxa" w:w="2880"/>
          </w:tcPr>
          <w:p>
            <w:r>
              <w:t>risk_level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low, medium, high</w:t>
            </w:r>
          </w:p>
        </w:tc>
      </w:tr>
      <w:tr>
        <w:tc>
          <w:tcPr>
            <w:tcW w:type="dxa" w:w="2880"/>
          </w:tcPr>
          <w:p>
            <w:r>
              <w:t>submitted_date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Documents submitted</w:t>
            </w:r>
          </w:p>
        </w:tc>
      </w:tr>
      <w:tr>
        <w:tc>
          <w:tcPr>
            <w:tcW w:type="dxa" w:w="2880"/>
          </w:tcPr>
          <w:p>
            <w:r>
              <w:t>reviewed_date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Review completed</w:t>
            </w:r>
          </w:p>
        </w:tc>
      </w:tr>
      <w:tr>
        <w:tc>
          <w:tcPr>
            <w:tcW w:type="dxa" w:w="2880"/>
          </w:tcPr>
          <w:p>
            <w:r>
              <w:t>reviewed_by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 to users</w:t>
            </w:r>
          </w:p>
        </w:tc>
      </w:tr>
      <w:tr>
        <w:tc>
          <w:tcPr>
            <w:tcW w:type="dxa" w:w="2880"/>
          </w:tcPr>
          <w:p>
            <w:r>
              <w:t>expiry_date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KYC expiration</w:t>
            </w:r>
          </w:p>
        </w:tc>
      </w:tr>
      <w:tr>
        <w:tc>
          <w:tcPr>
            <w:tcW w:type="dxa" w:w="2880"/>
          </w:tcPr>
          <w:p>
            <w:r>
              <w:t>notes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Review notes</w:t>
            </w:r>
          </w:p>
        </w:tc>
      </w:tr>
    </w:tbl>
    <w:p>
      <w:pPr>
        <w:pStyle w:val="Heading2"/>
      </w:pPr>
      <w:r>
        <w:t>2.2 Required KYC Documents</w:t>
      </w:r>
    </w:p>
    <w:p>
      <w:r>
        <w:rPr>
          <w:b/>
        </w:rPr>
        <w:t xml:space="preserve">Identity Proof: </w:t>
      </w:r>
      <w:r>
        <w:t>Government-issued ID (passport, national ID)</w:t>
      </w:r>
    </w:p>
    <w:p>
      <w:r>
        <w:rPr>
          <w:b/>
        </w:rPr>
        <w:t xml:space="preserve">Address Proof: </w:t>
      </w:r>
      <w:r>
        <w:t>Utility bill, bank statement (within 3 months)</w:t>
      </w:r>
    </w:p>
    <w:p>
      <w:r>
        <w:rPr>
          <w:b/>
        </w:rPr>
        <w:t xml:space="preserve">Source of Funds: </w:t>
      </w:r>
      <w:r>
        <w:t>Bank statements, employment letter, business docs</w:t>
      </w:r>
    </w:p>
    <w:p>
      <w:r>
        <w:rPr>
          <w:b/>
        </w:rPr>
        <w:t xml:space="preserve">Corporate Documents: </w:t>
      </w:r>
      <w:r>
        <w:t>Certificate of incorporation, articles (for companies)</w:t>
      </w:r>
    </w:p>
    <w:p>
      <w:pPr>
        <w:pStyle w:val="Heading1"/>
      </w:pPr>
      <w:r>
        <w:t>3. NDA Management</w:t>
      </w:r>
    </w:p>
    <w:p>
      <w:pPr>
        <w:pStyle w:val="Heading2"/>
      </w:pPr>
      <w:r>
        <w:t>3.1 NDA Tracking</w:t>
      </w:r>
    </w:p>
    <w:p>
      <w:r>
        <w:t>Track Non-Disclosure Agreements with contacts:</w:t>
      </w:r>
    </w:p>
    <w:p>
      <w:pPr>
        <w:pStyle w:val="ListBullet"/>
      </w:pPr>
      <w:r>
        <w:t>NDA status: Not Signed, Pending, Signed, Expired</w:t>
      </w:r>
    </w:p>
    <w:p>
      <w:pPr>
        <w:pStyle w:val="ListBullet"/>
      </w:pPr>
      <w:r>
        <w:t>Signed document storage</w:t>
      </w:r>
    </w:p>
    <w:p>
      <w:pPr>
        <w:pStyle w:val="ListBullet"/>
      </w:pPr>
      <w:r>
        <w:t>Expiry date tracking</w:t>
      </w:r>
    </w:p>
    <w:p>
      <w:pPr>
        <w:pStyle w:val="ListBullet"/>
      </w:pPr>
      <w:r>
        <w:t>Automatic renewal reminders</w:t>
      </w:r>
    </w:p>
    <w:p>
      <w:pPr>
        <w:pStyle w:val="ListBullet"/>
      </w:pPr>
      <w:r>
        <w:t>Link to related opportunities</w:t>
      </w:r>
    </w:p>
    <w:p>
      <w:pPr>
        <w:pStyle w:val="Heading1"/>
      </w:pPr>
      <w:r>
        <w:t>4. Contract Management</w:t>
      </w:r>
    </w:p>
    <w:p>
      <w:pPr>
        <w:pStyle w:val="Heading2"/>
      </w:pPr>
      <w:r>
        <w:t>4.1 Contract Entity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contract_number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Unique contract number</w:t>
            </w:r>
          </w:p>
        </w:tc>
      </w:tr>
      <w:tr>
        <w:tc>
          <w:tcPr>
            <w:tcW w:type="dxa" w:w="2880"/>
          </w:tcPr>
          <w:p>
            <w:r>
              <w:t>contract_type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mandate, sale, lease, service, employment, other</w:t>
            </w:r>
          </w:p>
        </w:tc>
      </w:tr>
      <w:tr>
        <w:tc>
          <w:tcPr>
            <w:tcW w:type="dxa" w:w="2880"/>
          </w:tcPr>
          <w:p>
            <w:r>
              <w:t>contract_title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Contract name</w:t>
            </w:r>
          </w:p>
        </w:tc>
      </w:tr>
      <w:tr>
        <w:tc>
          <w:tcPr>
            <w:tcW w:type="dxa" w:w="2880"/>
          </w:tcPr>
          <w:p>
            <w:r>
              <w:t>parties</w:t>
            </w:r>
          </w:p>
        </w:tc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Contract parties</w:t>
            </w:r>
          </w:p>
        </w:tc>
      </w:tr>
      <w:tr>
        <w:tc>
          <w:tcPr>
            <w:tcW w:type="dxa" w:w="2880"/>
          </w:tcPr>
          <w:p>
            <w:r>
              <w:t>related_property_id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 to properties</w:t>
            </w:r>
          </w:p>
        </w:tc>
      </w:tr>
      <w:tr>
        <w:tc>
          <w:tcPr>
            <w:tcW w:type="dxa" w:w="2880"/>
          </w:tcPr>
          <w:p>
            <w:r>
              <w:t>related_deal_id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 to deals</w:t>
            </w:r>
          </w:p>
        </w:tc>
      </w:tr>
      <w:tr>
        <w:tc>
          <w:tcPr>
            <w:tcW w:type="dxa" w:w="2880"/>
          </w:tcPr>
          <w:p>
            <w:r>
              <w:t>start_date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Contract start</w:t>
            </w:r>
          </w:p>
        </w:tc>
      </w:tr>
      <w:tr>
        <w:tc>
          <w:tcPr>
            <w:tcW w:type="dxa" w:w="2880"/>
          </w:tcPr>
          <w:p>
            <w:r>
              <w:t>end_date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Contract end</w:t>
            </w:r>
          </w:p>
        </w:tc>
      </w:tr>
      <w:tr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DECIMAL(15,2)</w:t>
            </w:r>
          </w:p>
        </w:tc>
        <w:tc>
          <w:tcPr>
            <w:tcW w:type="dxa" w:w="2880"/>
          </w:tcPr>
          <w:p>
            <w:r>
              <w:t>Contract value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draft, pending_signature, active, expired, terminated</w:t>
            </w:r>
          </w:p>
        </w:tc>
      </w:tr>
      <w:tr>
        <w:tc>
          <w:tcPr>
            <w:tcW w:type="dxa" w:w="2880"/>
          </w:tcPr>
          <w:p>
            <w:r>
              <w:t>signed_document_url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Signed document storage</w:t>
            </w:r>
          </w:p>
        </w:tc>
      </w:tr>
      <w:tr>
        <w:tc>
          <w:tcPr>
            <w:tcW w:type="dxa" w:w="2880"/>
          </w:tcPr>
          <w:p>
            <w:r>
              <w:t>created_by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 to users</w:t>
            </w:r>
          </w:p>
        </w:tc>
      </w:tr>
    </w:tbl>
    <w:p>
      <w:pPr>
        <w:pStyle w:val="Heading2"/>
      </w:pPr>
      <w:r>
        <w:t>4.2 Contract Alerts</w:t>
      </w:r>
    </w:p>
    <w:p>
      <w:pPr>
        <w:pStyle w:val="ListBullet"/>
      </w:pPr>
      <w:r>
        <w:t>30-day expiry warning</w:t>
      </w:r>
    </w:p>
    <w:p>
      <w:pPr>
        <w:pStyle w:val="ListBullet"/>
      </w:pPr>
      <w:r>
        <w:t>Renewal deadline notifications</w:t>
      </w:r>
    </w:p>
    <w:p>
      <w:pPr>
        <w:pStyle w:val="ListBullet"/>
      </w:pPr>
      <w:r>
        <w:t>Signature pending reminders</w:t>
      </w:r>
    </w:p>
    <w:p>
      <w:pPr>
        <w:pStyle w:val="Heading1"/>
      </w:pPr>
      <w:r>
        <w:t>5. Compliance Monitoring</w:t>
      </w:r>
    </w:p>
    <w:p>
      <w:pPr>
        <w:pStyle w:val="Heading2"/>
      </w:pPr>
      <w:r>
        <w:t>5.1 Compliance Requirements</w:t>
      </w:r>
    </w:p>
    <w:p>
      <w:r>
        <w:rPr>
          <w:b/>
        </w:rPr>
        <w:t xml:space="preserve">KYC Refresh: </w:t>
      </w:r>
      <w:r>
        <w:t>Annual KYC verification for all investors</w:t>
      </w:r>
    </w:p>
    <w:p>
      <w:r>
        <w:rPr>
          <w:b/>
        </w:rPr>
        <w:t xml:space="preserve">AML Screening: </w:t>
      </w:r>
      <w:r>
        <w:t>Ongoing sanctions and PEP screening</w:t>
      </w:r>
    </w:p>
    <w:p>
      <w:r>
        <w:rPr>
          <w:b/>
        </w:rPr>
        <w:t xml:space="preserve">Document Retention: </w:t>
      </w:r>
      <w:r>
        <w:t>7-year retention for all legal documents</w:t>
      </w:r>
    </w:p>
    <w:p>
      <w:r>
        <w:rPr>
          <w:b/>
        </w:rPr>
        <w:t xml:space="preserve">Audit Trail: </w:t>
      </w:r>
      <w:r>
        <w:t>Complete activity logging for 7 years</w:t>
      </w:r>
    </w:p>
    <w:p>
      <w:pPr>
        <w:pStyle w:val="Heading2"/>
      </w:pPr>
      <w:r>
        <w:t>5.2 Compliance Dashboard</w:t>
      </w:r>
    </w:p>
    <w:p>
      <w:pPr>
        <w:pStyle w:val="ListBullet"/>
      </w:pPr>
      <w:r>
        <w:t>KYC completion rate by contact type</w:t>
      </w:r>
    </w:p>
    <w:p>
      <w:pPr>
        <w:pStyle w:val="ListBullet"/>
      </w:pPr>
      <w:r>
        <w:t>Pending KYC reviews</w:t>
      </w:r>
    </w:p>
    <w:p>
      <w:pPr>
        <w:pStyle w:val="ListBullet"/>
      </w:pPr>
      <w:r>
        <w:t>Expiring documents in next 90 days</w:t>
      </w:r>
    </w:p>
    <w:p>
      <w:pPr>
        <w:pStyle w:val="ListBullet"/>
      </w:pPr>
      <w:r>
        <w:t>Contract status summary</w:t>
      </w:r>
    </w:p>
    <w:p>
      <w:pPr>
        <w:pStyle w:val="ListBullet"/>
      </w:pPr>
      <w:r>
        <w:t>Compliance violations (if any)</w:t>
      </w:r>
    </w:p>
    <w:p>
      <w:pPr>
        <w:pStyle w:val="Heading1"/>
      </w:pPr>
      <w:r>
        <w:t>6. Audit Trails</w:t>
      </w:r>
    </w:p>
    <w:p>
      <w:pPr>
        <w:pStyle w:val="Heading2"/>
      </w:pPr>
      <w:r>
        <w:t>6.1 Audit Log Entity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 to users (who performed action)</w:t>
            </w:r>
          </w:p>
        </w:tc>
      </w:tr>
      <w:tr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Action performed</w:t>
            </w:r>
          </w:p>
        </w:tc>
      </w:tr>
      <w:tr>
        <w:tc>
          <w:tcPr>
            <w:tcW w:type="dxa" w:w="2880"/>
          </w:tcPr>
          <w:p>
            <w:r>
              <w:t>entity_type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Type of entity affected</w:t>
            </w:r>
          </w:p>
        </w:tc>
      </w:tr>
      <w:tr>
        <w:tc>
          <w:tcPr>
            <w:tcW w:type="dxa" w:w="2880"/>
          </w:tcPr>
          <w:p>
            <w:r>
              <w:t>entity_id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ID of entity affected</w:t>
            </w:r>
          </w:p>
        </w:tc>
      </w:tr>
      <w:tr>
        <w:tc>
          <w:tcPr>
            <w:tcW w:type="dxa" w:w="2880"/>
          </w:tcPr>
          <w:p>
            <w:r>
              <w:t>old_values</w:t>
            </w:r>
          </w:p>
        </w:tc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Previous values (for updates)</w:t>
            </w:r>
          </w:p>
        </w:tc>
      </w:tr>
      <w:tr>
        <w:tc>
          <w:tcPr>
            <w:tcW w:type="dxa" w:w="2880"/>
          </w:tcPr>
          <w:p>
            <w:r>
              <w:t>new_values</w:t>
            </w:r>
          </w:p>
        </w:tc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New values (for updates)</w:t>
            </w:r>
          </w:p>
        </w:tc>
      </w:tr>
      <w:tr>
        <w:tc>
          <w:tcPr>
            <w:tcW w:type="dxa" w:w="2880"/>
          </w:tcPr>
          <w:p>
            <w:r>
              <w:t>ip_address</w:t>
            </w:r>
          </w:p>
        </w:tc>
        <w:tc>
          <w:tcPr>
            <w:tcW w:type="dxa" w:w="2880"/>
          </w:tcPr>
          <w:p>
            <w:r>
              <w:t>VARCHAR(45)</w:t>
            </w:r>
          </w:p>
        </w:tc>
        <w:tc>
          <w:tcPr>
            <w:tcW w:type="dxa" w:w="2880"/>
          </w:tcPr>
          <w:p>
            <w:r>
              <w:t>User IP address</w:t>
            </w:r>
          </w:p>
        </w:tc>
      </w:tr>
      <w:tr>
        <w:tc>
          <w:tcPr>
            <w:tcW w:type="dxa" w:w="2880"/>
          </w:tcPr>
          <w:p>
            <w:r>
              <w:t>user_agent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Browser/device info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Action timestamp</w:t>
            </w:r>
          </w:p>
        </w:tc>
      </w:tr>
    </w:tbl>
    <w:p>
      <w:pPr>
        <w:pStyle w:val="Heading2"/>
      </w:pPr>
      <w:r>
        <w:t>6.2 Audit Log Retention</w:t>
      </w:r>
    </w:p>
    <w:p>
      <w:r>
        <w:t>Audit logs retained for 7 years as per regulatory requirements</w:t>
      </w:r>
    </w:p>
    <w:p>
      <w:pPr>
        <w:pStyle w:val="Heading1"/>
      </w:pPr>
      <w:r>
        <w:t>7. API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GET /api/v1/kyc</w:t>
            </w:r>
          </w:p>
        </w:tc>
        <w:tc>
          <w:tcPr>
            <w:tcW w:type="dxa" w:w="4320"/>
          </w:tcPr>
          <w:p>
            <w:r>
              <w:t>List KYC records</w:t>
            </w:r>
          </w:p>
        </w:tc>
      </w:tr>
      <w:tr>
        <w:tc>
          <w:tcPr>
            <w:tcW w:type="dxa" w:w="4320"/>
          </w:tcPr>
          <w:p>
            <w:r>
              <w:t>GET /api/v1/kyc/{id}</w:t>
            </w:r>
          </w:p>
        </w:tc>
        <w:tc>
          <w:tcPr>
            <w:tcW w:type="dxa" w:w="4320"/>
          </w:tcPr>
          <w:p>
            <w:r>
              <w:t>Get KYC details</w:t>
            </w:r>
          </w:p>
        </w:tc>
      </w:tr>
      <w:tr>
        <w:tc>
          <w:tcPr>
            <w:tcW w:type="dxa" w:w="4320"/>
          </w:tcPr>
          <w:p>
            <w:r>
              <w:t>PUT /api/v1/kyc/{id}/review</w:t>
            </w:r>
          </w:p>
        </w:tc>
        <w:tc>
          <w:tcPr>
            <w:tcW w:type="dxa" w:w="4320"/>
          </w:tcPr>
          <w:p>
            <w:r>
              <w:t>Submit KYC review</w:t>
            </w:r>
          </w:p>
        </w:tc>
      </w:tr>
      <w:tr>
        <w:tc>
          <w:tcPr>
            <w:tcW w:type="dxa" w:w="4320"/>
          </w:tcPr>
          <w:p>
            <w:r>
              <w:t>GET /api/v1/contracts</w:t>
            </w:r>
          </w:p>
        </w:tc>
        <w:tc>
          <w:tcPr>
            <w:tcW w:type="dxa" w:w="4320"/>
          </w:tcPr>
          <w:p>
            <w:r>
              <w:t>List contracts</w:t>
            </w:r>
          </w:p>
        </w:tc>
      </w:tr>
      <w:tr>
        <w:tc>
          <w:tcPr>
            <w:tcW w:type="dxa" w:w="4320"/>
          </w:tcPr>
          <w:p>
            <w:r>
              <w:t>POST /api/v1/contracts</w:t>
            </w:r>
          </w:p>
        </w:tc>
        <w:tc>
          <w:tcPr>
            <w:tcW w:type="dxa" w:w="4320"/>
          </w:tcPr>
          <w:p>
            <w:r>
              <w:t>Create contract</w:t>
            </w:r>
          </w:p>
        </w:tc>
      </w:tr>
      <w:tr>
        <w:tc>
          <w:tcPr>
            <w:tcW w:type="dxa" w:w="4320"/>
          </w:tcPr>
          <w:p>
            <w:r>
              <w:t>GET /api/v1/audit-logs</w:t>
            </w:r>
          </w:p>
        </w:tc>
        <w:tc>
          <w:tcPr>
            <w:tcW w:type="dxa" w:w="4320"/>
          </w:tcPr>
          <w:p>
            <w:r>
              <w:t>Query audit logs</w:t>
            </w:r>
          </w:p>
        </w:tc>
      </w:tr>
      <w:tr>
        <w:tc>
          <w:tcPr>
            <w:tcW w:type="dxa" w:w="4320"/>
          </w:tcPr>
          <w:p>
            <w:r>
              <w:t>GET /api/v1/compliance/dashboard</w:t>
            </w:r>
          </w:p>
        </w:tc>
        <w:tc>
          <w:tcPr>
            <w:tcW w:type="dxa" w:w="4320"/>
          </w:tcPr>
          <w:p>
            <w:r>
              <w:t>Get compliance dashboard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08080"/>
        <w:sz w:val="16"/>
      </w:rPr>
      <w:t>Murivest OS |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808080"/>
        <w:sz w:val="18"/>
      </w:rPr>
      <w:t>Murivest OS | Legal Module Spec</w:t>
    </w:r>
  </w:p>
  <w:p>
    <w:pPr>
      <w:spacing w:before="40"/>
    </w:pPr>
    <w:r>
      <w:rPr>
        <w:rFonts w:ascii="Arial" w:hAnsi="Arial"/>
        <w:color w:val="CCCCCC"/>
        <w:sz w:val="16"/>
      </w:rPr>
      <w:t>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1A1A1A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4A4A4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8B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