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MIGRATION PLAN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Data Migration Plan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Strategy &amp; Procedures for Data Migration to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data migration strategy for transitioning existing data into Murivest OS, ensuring data integrity, minimal downtime, and business continuity.</w:t>
      </w:r>
    </w:p>
    <w:p>
      <w:pPr>
        <w:pStyle w:val="Heading2"/>
      </w:pPr>
      <w:r>
        <w:t>1.2 Migration Scope</w:t>
      </w:r>
    </w:p>
    <w:p>
      <w:pPr>
        <w:pStyle w:val="ListBullet"/>
      </w:pPr>
      <w:r>
        <w:t>Contact data (investors, landlords, tenants, prospects)</w:t>
      </w:r>
    </w:p>
    <w:p>
      <w:pPr>
        <w:pStyle w:val="ListBullet"/>
      </w:pPr>
      <w:r>
        <w:t>Property records and mandates</w:t>
      </w:r>
    </w:p>
    <w:p>
      <w:pPr>
        <w:pStyle w:val="ListBullet"/>
      </w:pPr>
      <w:r>
        <w:t>Deal history and pipeline data</w:t>
      </w:r>
    </w:p>
    <w:p>
      <w:pPr>
        <w:pStyle w:val="ListBullet"/>
      </w:pPr>
      <w:r>
        <w:t>User accounts and permissions</w:t>
      </w:r>
    </w:p>
    <w:p>
      <w:pPr>
        <w:pStyle w:val="ListBullet"/>
      </w:pPr>
      <w:r>
        <w:t>Financial transactions (historical)</w:t>
      </w:r>
    </w:p>
    <w:p>
      <w:pPr>
        <w:pStyle w:val="ListBullet"/>
      </w:pPr>
      <w:r>
        <w:t>Documents and files</w:t>
      </w:r>
    </w:p>
    <w:p>
      <w:pPr>
        <w:pStyle w:val="Heading1"/>
      </w:pPr>
      <w:r>
        <w:t>2. Migration Strategy</w:t>
      </w:r>
    </w:p>
    <w:p>
      <w:pPr>
        <w:pStyle w:val="Heading2"/>
      </w:pPr>
      <w:r>
        <w:t>2.1 Approach</w:t>
      </w:r>
    </w:p>
    <w:p>
      <w:r>
        <w:t>Phased migration approach to minimize risk:</w:t>
      </w:r>
    </w:p>
    <w:p>
      <w:r>
        <w:rPr>
          <w:b/>
        </w:rPr>
        <w:t xml:space="preserve">Phase 1: Foundation Data: </w:t>
      </w:r>
      <w:r>
        <w:t>Users, departments, basic configuration</w:t>
      </w:r>
    </w:p>
    <w:p>
      <w:r>
        <w:rPr>
          <w:b/>
        </w:rPr>
        <w:t xml:space="preserve">Phase 2: Master Data: </w:t>
      </w:r>
      <w:r>
        <w:t>Contacts, companies, properties</w:t>
      </w:r>
    </w:p>
    <w:p>
      <w:r>
        <w:rPr>
          <w:b/>
        </w:rPr>
        <w:t xml:space="preserve">Phase 3: Transactional Data: </w:t>
      </w:r>
      <w:r>
        <w:t>Deals, activities, tasks</w:t>
      </w:r>
    </w:p>
    <w:p>
      <w:r>
        <w:rPr>
          <w:b/>
        </w:rPr>
        <w:t xml:space="preserve">Phase 4: Historical Data: </w:t>
      </w:r>
      <w:r>
        <w:t>Past transactions, archived records</w:t>
      </w:r>
    </w:p>
    <w:p>
      <w:r>
        <w:rPr>
          <w:b/>
        </w:rPr>
        <w:t xml:space="preserve">Phase 5: Documents: </w:t>
      </w:r>
      <w:r>
        <w:t>Files, images, documents</w:t>
      </w:r>
    </w:p>
    <w:p>
      <w:pPr>
        <w:pStyle w:val="Heading2"/>
      </w:pPr>
      <w:r>
        <w:t>2.2 Migration Methods</w:t>
      </w:r>
    </w:p>
    <w:p>
      <w:r>
        <w:rPr>
          <w:b/>
        </w:rPr>
        <w:t xml:space="preserve">API Migration: </w:t>
      </w:r>
      <w:r>
        <w:t>Real-time migration using REST APIs for active systems</w:t>
      </w:r>
    </w:p>
    <w:p>
      <w:r>
        <w:rPr>
          <w:b/>
        </w:rPr>
        <w:t xml:space="preserve">Bulk Import: </w:t>
      </w:r>
      <w:r>
        <w:t>CSV/Excel import for large datasets</w:t>
      </w:r>
    </w:p>
    <w:p>
      <w:r>
        <w:rPr>
          <w:b/>
        </w:rPr>
        <w:t xml:space="preserve">Database Migration: </w:t>
      </w:r>
      <w:r>
        <w:t>Direct database transfer for compatible schemas</w:t>
      </w:r>
    </w:p>
    <w:p>
      <w:r>
        <w:rPr>
          <w:b/>
        </w:rPr>
        <w:t xml:space="preserve">Manual Entry: </w:t>
      </w:r>
      <w:r>
        <w:t>Small datasets or complex records requiring review</w:t>
      </w:r>
    </w:p>
    <w:p>
      <w:pPr>
        <w:pStyle w:val="Heading1"/>
      </w:pPr>
      <w:r>
        <w:t>3. Data Mapping</w:t>
      </w:r>
    </w:p>
    <w:p>
      <w:pPr>
        <w:pStyle w:val="Heading2"/>
      </w:pPr>
      <w:r>
        <w:t>3.1 Contact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</w:tr>
      <w:tr>
        <w:tc>
          <w:tcPr>
            <w:tcW w:type="dxa" w:w="4320"/>
          </w:tcPr>
          <w:p>
            <w:r>
              <w:t>Source: Contact Name</w:t>
            </w:r>
          </w:p>
        </w:tc>
        <w:tc>
          <w:tcPr>
            <w:tcW w:type="dxa" w:w="4320"/>
          </w:tcPr>
          <w:p>
            <w:r>
              <w:t>Target: first_name, last_name</w:t>
            </w:r>
          </w:p>
        </w:tc>
      </w:tr>
      <w:tr>
        <w:tc>
          <w:tcPr>
            <w:tcW w:type="dxa" w:w="4320"/>
          </w:tcPr>
          <w:p>
            <w:r>
              <w:t>Source: Email</w:t>
            </w:r>
          </w:p>
        </w:tc>
        <w:tc>
          <w:tcPr>
            <w:tcW w:type="dxa" w:w="4320"/>
          </w:tcPr>
          <w:p>
            <w:r>
              <w:t>Target: email</w:t>
            </w:r>
          </w:p>
        </w:tc>
      </w:tr>
      <w:tr>
        <w:tc>
          <w:tcPr>
            <w:tcW w:type="dxa" w:w="4320"/>
          </w:tcPr>
          <w:p>
            <w:r>
              <w:t>Source: Phone</w:t>
            </w:r>
          </w:p>
        </w:tc>
        <w:tc>
          <w:tcPr>
            <w:tcW w:type="dxa" w:w="4320"/>
          </w:tcPr>
          <w:p>
            <w:r>
              <w:t>Target: phone, mobile</w:t>
            </w:r>
          </w:p>
        </w:tc>
      </w:tr>
      <w:tr>
        <w:tc>
          <w:tcPr>
            <w:tcW w:type="dxa" w:w="4320"/>
          </w:tcPr>
          <w:p>
            <w:r>
              <w:t>Source: Company</w:t>
            </w:r>
          </w:p>
        </w:tc>
        <w:tc>
          <w:tcPr>
            <w:tcW w:type="dxa" w:w="4320"/>
          </w:tcPr>
          <w:p>
            <w:r>
              <w:t>Target: company_id (lookup)</w:t>
            </w:r>
          </w:p>
        </w:tc>
      </w:tr>
      <w:tr>
        <w:tc>
          <w:tcPr>
            <w:tcW w:type="dxa" w:w="4320"/>
          </w:tcPr>
          <w:p>
            <w:r>
              <w:t>Source: Type</w:t>
            </w:r>
          </w:p>
        </w:tc>
        <w:tc>
          <w:tcPr>
            <w:tcW w:type="dxa" w:w="4320"/>
          </w:tcPr>
          <w:p>
            <w:r>
              <w:t>Target: contact_type (map values)</w:t>
            </w:r>
          </w:p>
        </w:tc>
      </w:tr>
      <w:tr>
        <w:tc>
          <w:tcPr>
            <w:tcW w:type="dxa" w:w="4320"/>
          </w:tcPr>
          <w:p>
            <w:r>
              <w:t>Source: Notes</w:t>
            </w:r>
          </w:p>
        </w:tc>
        <w:tc>
          <w:tcPr>
            <w:tcW w:type="dxa" w:w="4320"/>
          </w:tcPr>
          <w:p>
            <w:r>
              <w:t>Target: notes</w:t>
            </w:r>
          </w:p>
        </w:tc>
      </w:tr>
    </w:tbl>
    <w:p>
      <w:pPr>
        <w:pStyle w:val="Heading2"/>
      </w:pPr>
      <w:r>
        <w:t>3.2 Property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</w:tr>
      <w:tr>
        <w:tc>
          <w:tcPr>
            <w:tcW w:type="dxa" w:w="4320"/>
          </w:tcPr>
          <w:p>
            <w:r>
              <w:t>Source: Property Name</w:t>
            </w:r>
          </w:p>
        </w:tc>
        <w:tc>
          <w:tcPr>
            <w:tcW w:type="dxa" w:w="4320"/>
          </w:tcPr>
          <w:p>
            <w:r>
              <w:t>Target: property_name</w:t>
            </w:r>
          </w:p>
        </w:tc>
      </w:tr>
      <w:tr>
        <w:tc>
          <w:tcPr>
            <w:tcW w:type="dxa" w:w="4320"/>
          </w:tcPr>
          <w:p>
            <w:r>
              <w:t>Source: Address</w:t>
            </w:r>
          </w:p>
        </w:tc>
        <w:tc>
          <w:tcPr>
            <w:tcW w:type="dxa" w:w="4320"/>
          </w:tcPr>
          <w:p>
            <w:r>
              <w:t>Target: address fields</w:t>
            </w:r>
          </w:p>
        </w:tc>
      </w:tr>
      <w:tr>
        <w:tc>
          <w:tcPr>
            <w:tcW w:type="dxa" w:w="4320"/>
          </w:tcPr>
          <w:p>
            <w:r>
              <w:t>Source: Type</w:t>
            </w:r>
          </w:p>
        </w:tc>
        <w:tc>
          <w:tcPr>
            <w:tcW w:type="dxa" w:w="4320"/>
          </w:tcPr>
          <w:p>
            <w:r>
              <w:t>Target: property_type (map values)</w:t>
            </w:r>
          </w:p>
        </w:tc>
      </w:tr>
      <w:tr>
        <w:tc>
          <w:tcPr>
            <w:tcW w:type="dxa" w:w="4320"/>
          </w:tcPr>
          <w:p>
            <w:r>
              <w:t>Source: Price</w:t>
            </w:r>
          </w:p>
        </w:tc>
        <w:tc>
          <w:tcPr>
            <w:tcW w:type="dxa" w:w="4320"/>
          </w:tcPr>
          <w:p>
            <w:r>
              <w:t>Target: asking_price</w:t>
            </w:r>
          </w:p>
        </w:tc>
      </w:tr>
      <w:tr>
        <w:tc>
          <w:tcPr>
            <w:tcW w:type="dxa" w:w="4320"/>
          </w:tcPr>
          <w:p>
            <w:r>
              <w:t>Source: Owner</w:t>
            </w:r>
          </w:p>
        </w:tc>
        <w:tc>
          <w:tcPr>
            <w:tcW w:type="dxa" w:w="4320"/>
          </w:tcPr>
          <w:p>
            <w:r>
              <w:t>Target: landlord_id (lookup)</w:t>
            </w:r>
          </w:p>
        </w:tc>
      </w:tr>
      <w:tr>
        <w:tc>
          <w:tcPr>
            <w:tcW w:type="dxa" w:w="4320"/>
          </w:tcPr>
          <w:p>
            <w:r>
              <w:t>Source: Status</w:t>
            </w:r>
          </w:p>
        </w:tc>
        <w:tc>
          <w:tcPr>
            <w:tcW w:type="dxa" w:w="4320"/>
          </w:tcPr>
          <w:p>
            <w:r>
              <w:t>Target: status (map values)</w:t>
            </w:r>
          </w:p>
        </w:tc>
      </w:tr>
    </w:tbl>
    <w:p>
      <w:pPr>
        <w:pStyle w:val="Heading1"/>
      </w:pPr>
      <w:r>
        <w:t>4. Migration Process</w:t>
      </w:r>
    </w:p>
    <w:p>
      <w:pPr>
        <w:pStyle w:val="Heading2"/>
      </w:pPr>
      <w:r>
        <w:t>4.1 Pre-Migration Steps</w:t>
      </w:r>
    </w:p>
    <w:p>
      <w:r>
        <w:t>1. Data audit - assess source data quality</w:t>
      </w:r>
    </w:p>
    <w:p>
      <w:r>
        <w:t>2. Data cleansing - fix known issues</w:t>
      </w:r>
    </w:p>
    <w:p>
      <w:r>
        <w:t>3. Backup source systems</w:t>
      </w:r>
    </w:p>
    <w:p>
      <w:r>
        <w:t>4. Prepare migration environment</w:t>
      </w:r>
    </w:p>
    <w:p>
      <w:r>
        <w:t>5. Test migration scripts</w:t>
      </w:r>
    </w:p>
    <w:p>
      <w:pPr>
        <w:pStyle w:val="Heading2"/>
      </w:pPr>
      <w:r>
        <w:t>4.2 Migration Execution</w:t>
      </w:r>
    </w:p>
    <w:p>
      <w:r>
        <w:t>1. Run migration in staging environment</w:t>
      </w:r>
    </w:p>
    <w:p>
      <w:r>
        <w:t>2. Validate migrated data</w:t>
      </w:r>
    </w:p>
    <w:p>
      <w:r>
        <w:t>3. Fix any issues identified</w:t>
      </w:r>
    </w:p>
    <w:p>
      <w:r>
        <w:t>4. Schedule production migration window</w:t>
      </w:r>
    </w:p>
    <w:p>
      <w:r>
        <w:t>5. Execute production migration</w:t>
      </w:r>
    </w:p>
    <w:p>
      <w:r>
        <w:t>6. Validate production data</w:t>
      </w:r>
    </w:p>
    <w:p>
      <w:pPr>
        <w:pStyle w:val="Heading2"/>
      </w:pPr>
      <w:r>
        <w:t>4.3 Post-Migration</w:t>
      </w:r>
    </w:p>
    <w:p>
      <w:r>
        <w:t>1. Verify data completeness</w:t>
      </w:r>
    </w:p>
    <w:p>
      <w:r>
        <w:t>2. Run reconciliation reports</w:t>
      </w:r>
    </w:p>
    <w:p>
      <w:r>
        <w:t>3. Enable user access</w:t>
      </w:r>
    </w:p>
    <w:p>
      <w:r>
        <w:t>4. Decommission old systems</w:t>
      </w:r>
    </w:p>
    <w:p>
      <w:r>
        <w:t>5. Document lessons learned</w:t>
      </w:r>
    </w:p>
    <w:p>
      <w:pPr>
        <w:pStyle w:val="Heading1"/>
      </w:pPr>
      <w:r>
        <w:t>5. Data Validation</w:t>
      </w:r>
    </w:p>
    <w:p>
      <w:pPr>
        <w:pStyle w:val="Heading2"/>
      </w:pPr>
      <w:r>
        <w:t>5.1 Validation Checks</w:t>
      </w:r>
    </w:p>
    <w:p>
      <w:pPr>
        <w:pStyle w:val="ListBullet"/>
      </w:pPr>
      <w:r>
        <w:t>Record count comparison (source vs. target)</w:t>
      </w:r>
    </w:p>
    <w:p>
      <w:pPr>
        <w:pStyle w:val="ListBullet"/>
      </w:pPr>
      <w:r>
        <w:t>Sample data verification</w:t>
      </w:r>
    </w:p>
    <w:p>
      <w:pPr>
        <w:pStyle w:val="ListBullet"/>
      </w:pPr>
      <w:r>
        <w:t>Required field completeness</w:t>
      </w:r>
    </w:p>
    <w:p>
      <w:pPr>
        <w:pStyle w:val="ListBullet"/>
      </w:pPr>
      <w:r>
        <w:t>Relationship integrity checks</w:t>
      </w:r>
    </w:p>
    <w:p>
      <w:pPr>
        <w:pStyle w:val="ListBullet"/>
      </w:pPr>
      <w:r>
        <w:t>Financial reconciliation</w:t>
      </w:r>
    </w:p>
    <w:p>
      <w:pPr>
        <w:pStyle w:val="Heading2"/>
      </w:pPr>
      <w:r>
        <w:t>5.2 Rollback Plan</w:t>
      </w:r>
    </w:p>
    <w:p>
      <w:r>
        <w:t>If critical issues are discovered:</w:t>
      </w:r>
    </w:p>
    <w:p>
      <w:pPr>
        <w:pStyle w:val="ListBullet"/>
      </w:pPr>
      <w:r>
        <w:t>Stop migration process immediately</w:t>
      </w:r>
    </w:p>
    <w:p>
      <w:pPr>
        <w:pStyle w:val="ListBullet"/>
      </w:pPr>
      <w:r>
        <w:t>Preserve source system data</w:t>
      </w:r>
    </w:p>
    <w:p>
      <w:pPr>
        <w:pStyle w:val="ListBullet"/>
      </w:pPr>
      <w:r>
        <w:t>Assess impact and root cause</w:t>
      </w:r>
    </w:p>
    <w:p>
      <w:pPr>
        <w:pStyle w:val="ListBullet"/>
      </w:pPr>
      <w:r>
        <w:t>Fix issues and retry, or</w:t>
      </w:r>
    </w:p>
    <w:p>
      <w:pPr>
        <w:pStyle w:val="ListBullet"/>
      </w:pPr>
      <w:r>
        <w:t>Rollback to source systems if necessary</w:t>
      </w:r>
    </w:p>
    <w:p>
      <w:pPr>
        <w:pStyle w:val="Heading1"/>
      </w:pPr>
      <w:r>
        <w:t>6. Migration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Week 1-2</w:t>
            </w:r>
          </w:p>
        </w:tc>
        <w:tc>
          <w:tcPr>
            <w:tcW w:type="dxa" w:w="4320"/>
          </w:tcPr>
          <w:p>
            <w:r>
              <w:t>Data audit and cleansing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Migration script development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Staging migration and testing</w:t>
            </w:r>
          </w:p>
        </w:tc>
      </w:tr>
      <w:tr>
        <w:tc>
          <w:tcPr>
            <w:tcW w:type="dxa" w:w="4320"/>
          </w:tcPr>
          <w:p>
            <w:r>
              <w:t>Week 5</w:t>
            </w:r>
          </w:p>
        </w:tc>
        <w:tc>
          <w:tcPr>
            <w:tcW w:type="dxa" w:w="4320"/>
          </w:tcPr>
          <w:p>
            <w:r>
              <w:t>Production migration preparation</w:t>
            </w:r>
          </w:p>
        </w:tc>
      </w:tr>
      <w:tr>
        <w:tc>
          <w:tcPr>
            <w:tcW w:type="dxa" w:w="4320"/>
          </w:tcPr>
          <w:p>
            <w:r>
              <w:t>Week 6</w:t>
            </w:r>
          </w:p>
        </w:tc>
        <w:tc>
          <w:tcPr>
            <w:tcW w:type="dxa" w:w="4320"/>
          </w:tcPr>
          <w:p>
            <w:r>
              <w:t>Production migration execution</w:t>
            </w:r>
          </w:p>
        </w:tc>
      </w:tr>
      <w:tr>
        <w:tc>
          <w:tcPr>
            <w:tcW w:type="dxa" w:w="4320"/>
          </w:tcPr>
          <w:p>
            <w:r>
              <w:t>Week 7</w:t>
            </w:r>
          </w:p>
        </w:tc>
        <w:tc>
          <w:tcPr>
            <w:tcW w:type="dxa" w:w="4320"/>
          </w:tcPr>
          <w:p>
            <w:r>
              <w:t>Validation and go-live support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Data Migration Plan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