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ООО «Мобильная экологическая лаборатория»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 xml:space="preserve">поверхностная,подземная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