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44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 xml:space="preserve">подземная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