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Overview of the Goods and Services Tax (GST) in India</w:t>
      </w:r>
    </w:p>
    <w:p>
      <w:pPr>
        <w:pStyle w:val="Heading1"/>
      </w:pPr>
      <w:r>
        <w:t>Introduction</w:t>
      </w:r>
    </w:p>
    <w:p>
      <w:r>
        <w:t>The Goods and Services Tax is a comprehensive, destination-based indirect tax levied on the supply of goods and services in India. It was introduced on 1 July 2017 through the Constitution (One Hundred and First Amendment) Act, 2016, and replaced a long list of earlier central and state taxes, including central excise duty, service tax, value added tax (VAT), central sales tax, entry tax and octroi. The central idea was to create one national market with a uniform tax structure and to remove the cascading effect of tax on tax that existed under the earlier system.</w:t>
      </w:r>
    </w:p>
    <w:p>
      <w:r>
        <w:t>GST is called destination-based because the tax revenue goes to the state where the goods or services are consumed, not the state where they are produced. It is a multi-stage tax, collected at every step of the supply chain, but because businesses can claim credit for the tax they paid on their inputs, the final burden falls on the end consumer.</w:t>
      </w:r>
    </w:p>
    <w:p>
      <w:pPr>
        <w:pStyle w:val="Heading1"/>
      </w:pPr>
      <w:r>
        <w:t>The Dual GST Structure</w:t>
      </w:r>
    </w:p>
    <w:p>
      <w:r>
        <w:t>India follows a dual GST model because both the Centre and the States have the power to tax. For a supply within a single state (an intra-state supply), two taxes are charged together: Central GST (CGST), collected by the Centre, and State GST (SGST), collected by the state. Union territories without their own legislature charge UTGST instead of SGST. For a supply from one state to another (an inter-state supply) and for imports, Integrated GST (IGST) is charged and collected by the Centre, which then settles the state share with the consuming state.</w:t>
      </w:r>
    </w:p>
    <w:p>
      <w:r>
        <w:t>For example, if a trader in Pune sells goods worth 10,000 rupees to a customer in Mumbai at an 18 percent rate, the invoice will show CGST of 900 rupees and SGST of 900 rupees. If the same trader sells the same goods to a customer in Bengaluru, the invoice will show IGST of 1,800 rupees.</w:t>
      </w:r>
    </w:p>
    <w:p>
      <w:pPr>
        <w:pStyle w:val="Heading1"/>
      </w:pPr>
      <w:r>
        <w:t>The GST Council and Rate Structure</w:t>
      </w:r>
    </w:p>
    <w:p>
      <w:r>
        <w:t>The GST Council, chaired by the Union Finance Minister and including the finance ministers of all states, recommends tax rates, exemptions, thresholds and procedural rules. When GST launched, most goods and services fell into four main slabs of 5, 12, 18 and 28 percent, with a compensation cess on certain luxury and demerit goods, and special low rates for items such as gold. In September 2025 the Council approved a major rationalisation, often described as GST 2.0, which took effect on 22 September 2025. It moved most items into two main slabs of 5 percent and 18 percent, and introduced a special rate of 40 percent for a small list of luxury and sin goods. Many essential items, such as fresh food grains, milk and fresh vegetables, remain exempt.</w:t>
      </w:r>
    </w:p>
    <w:p>
      <w:pPr>
        <w:pStyle w:val="Heading1"/>
      </w:pPr>
      <w:r>
        <w:t>Input Tax Credit</w:t>
      </w:r>
    </w:p>
    <w:p>
      <w:r>
        <w:t>Input tax credit (ITC) is the mechanism that prevents cascading. A registered business that pays GST on its purchases can deduct that amount from the GST it collects on its sales and pay only the difference to the government. Suppose a manufacturer pays 1,800 rupees of GST on raw materials and charges 2,700 rupees of GST on finished goods. It pays only 900 rupees in cash, because 1,800 rupees is set off as input tax credit.</w:t>
      </w:r>
    </w:p>
    <w:p>
      <w:r>
        <w:t>To claim ITC, the business must hold a valid tax invoice, must have actually received the goods or services, the supplier must have paid the tax to the government, and the supplier's invoice must appear in the buyer's auto-generated statement, GSTR-2B. ITC is blocked on certain items, such as motor vehicles for personal use, food and beverages, and goods used for personal consumption. There is also a set order for using credits: IGST credit is used first against IGST, then against CGST and SGST, while CGST credit cannot be used to pay SGST and vice versa.</w:t>
      </w:r>
    </w:p>
    <w:p>
      <w:pPr>
        <w:pStyle w:val="Heading1"/>
      </w:pPr>
      <w:r>
        <w:t>Registration</w:t>
      </w:r>
    </w:p>
    <w:p>
      <w:r>
        <w:t>A business must register under GST if its aggregate annual turnover exceeds the threshold limit. In most states the threshold is 40 lakh rupees for suppliers of goods and 20 lakh rupees for suppliers of services, with lower limits in some special category states. Certain persons must register regardless of turnover, including those making inter-state taxable supplies of goods, e-commerce operators, casual taxable persons and persons liable to pay tax under the reverse charge mechanism. Each registered person receives a 15-character GST Identification Number (GSTIN), which is based on the state code and the business's PAN.</w:t>
      </w:r>
    </w:p>
    <w:p>
      <w:r>
        <w:t>Small businesses with turnover up to 1.5 crore rupees (75 lakh rupees in some special category states) may opt for the composition scheme. Under this scheme they pay tax at a low fixed rate on turnover and file simpler returns, but they cannot collect GST from customers or claim input tax credit.</w:t>
      </w:r>
    </w:p>
    <w:p>
      <w:pPr>
        <w:pStyle w:val="Heading1"/>
      </w:pPr>
      <w:r>
        <w:t>Returns and Compliance</w:t>
      </w:r>
    </w:p>
    <w:p>
      <w:r>
        <w:t>Registered taxpayers file periodic returns on the GST portal. GSTR-1 reports details of outward supplies (sales). GSTR-3B is a summary return in which the taxpayer declares total sales, input tax credit claimed and net tax payable, and pays the tax. GSTR-9 is the annual return. Composition taxpayers file CMP-08 quarterly and GSTR-4 annually. Small taxpayers with turnover up to 5 crore rupees may use the Quarterly Return Monthly Payment (QRMP) scheme, filing returns quarterly while paying tax monthly. Late filing attracts late fees and interest.</w:t>
      </w:r>
    </w:p>
    <w:p>
      <w:pPr>
        <w:pStyle w:val="Heading1"/>
      </w:pPr>
      <w:r>
        <w:t>E-Invoicing and E-Way Bills</w:t>
      </w:r>
    </w:p>
    <w:p>
      <w:r>
        <w:t>E-invoicing requires notified businesses above a turnover threshold to report their business-to-business invoices to the Invoice Registration Portal, which validates each invoice and returns a unique Invoice Reference Number (IRN) and a QR code. This reduces fake invoices and allows invoice details to flow automatically into returns. The e-way bill is an electronic document required for moving goods worth more than 50,000 rupees, and it records the details of the consignment, the supplier, the recipient and the transporter.</w:t>
      </w:r>
    </w:p>
    <w:p>
      <w:pPr>
        <w:pStyle w:val="Heading1"/>
      </w:pPr>
      <w:r>
        <w:t>Reverse Charge Mechanism</w:t>
      </w:r>
    </w:p>
    <w:p>
      <w:r>
        <w:t>Normally the supplier collects and pays GST. Under the reverse charge mechanism, the liability shifts to the recipient. It applies to notified supplies such as services provided by a goods transport agency, legal services by an advocate to a business, and certain purchases from unregistered suppliers. The recipient pays the tax and may then claim it as input tax credit if otherwise eligible.</w:t>
      </w:r>
    </w:p>
    <w:p>
      <w:pPr>
        <w:pStyle w:val="Heading1"/>
      </w:pPr>
      <w:r>
        <w:t>Benefits and Challenges</w:t>
      </w:r>
    </w:p>
    <w:p>
      <w:r>
        <w:t>GST has simplified the indirect tax system, removed most check posts at state borders, widened the tax base and made compliance largely digital. However, businesses have faced challenges such as frequent changes in rules and rates during the early years, technical issues on the portal, working-capital pressure from delays in ITC matching and refunds, and classification disputes over which rate applies to a product. Accounting software that generates GST-compliant invoices and prepares returns automatically has become an important tool for small and medium enterprises.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